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D7311">
      <w:pPr>
        <w:spacing w:line="400" w:lineRule="exact"/>
        <w:rPr>
          <w:rFonts w:hint="eastAsia" w:ascii="方正小标宋简体" w:hAnsi="宋体" w:eastAsia="方正小标宋简体" w:cs="Times New Roman"/>
          <w:b/>
          <w:sz w:val="24"/>
          <w:szCs w:val="24"/>
          <w:lang w:val="en-US" w:eastAsia="zh-CN"/>
        </w:rPr>
      </w:pPr>
      <w:r>
        <w:rPr>
          <w:rFonts w:hint="eastAsia" w:ascii="宋体" w:hAnsi="宋体" w:eastAsia="宋体" w:cs="Times New Roman"/>
          <w:b/>
          <w:sz w:val="24"/>
          <w:szCs w:val="24"/>
        </w:rPr>
        <w:t>附件1：</w:t>
      </w:r>
      <w:r>
        <w:rPr>
          <w:rFonts w:hint="eastAsia" w:ascii="宋体" w:hAnsi="宋体" w:eastAsia="宋体" w:cs="Times New Roman"/>
          <w:b/>
          <w:sz w:val="24"/>
          <w:szCs w:val="24"/>
          <w:lang w:eastAsia="zh-CN"/>
        </w:rPr>
        <w:t>服务</w:t>
      </w:r>
      <w:r>
        <w:rPr>
          <w:rFonts w:hint="eastAsia" w:ascii="方正小标宋简体" w:hAnsi="宋体" w:eastAsia="方正小标宋简体" w:cs="Times New Roman"/>
          <w:b/>
          <w:sz w:val="24"/>
          <w:szCs w:val="24"/>
        </w:rPr>
        <w:t>采购需求及响应报价表</w:t>
      </w:r>
      <w:r>
        <w:rPr>
          <w:rFonts w:hint="eastAsia" w:ascii="方正小标宋简体" w:hAnsi="宋体" w:eastAsia="方正小标宋简体" w:cs="Times New Roman"/>
          <w:b/>
          <w:sz w:val="24"/>
          <w:szCs w:val="24"/>
          <w:lang w:val="en-US" w:eastAsia="zh-CN"/>
        </w:rPr>
        <w:t>(重）</w:t>
      </w:r>
      <w:bookmarkStart w:id="2" w:name="_GoBack"/>
      <w:bookmarkEnd w:id="2"/>
    </w:p>
    <w:p w14:paraId="352C7F89">
      <w:pPr>
        <w:spacing w:line="400" w:lineRule="exact"/>
        <w:rPr>
          <w:rFonts w:ascii="宋体" w:hAnsi="宋体" w:eastAsia="宋体" w:cs="Times New Roman"/>
          <w:b/>
          <w:sz w:val="24"/>
          <w:szCs w:val="24"/>
        </w:rPr>
      </w:pPr>
    </w:p>
    <w:p w14:paraId="274FE4BC">
      <w:pPr>
        <w:spacing w:line="360" w:lineRule="atLeast"/>
        <w:ind w:right="380"/>
        <w:rPr>
          <w:rFonts w:ascii="宋体" w:hAnsi="宋体" w:eastAsia="宋体" w:cs="宋体"/>
          <w:sz w:val="21"/>
          <w:szCs w:val="21"/>
        </w:rPr>
      </w:pPr>
      <w:r>
        <w:rPr>
          <w:rFonts w:hint="eastAsia" w:ascii="宋体" w:hAnsi="宋体" w:eastAsia="宋体" w:cs="Times New Roman"/>
          <w:b/>
          <w:bCs/>
          <w:sz w:val="24"/>
          <w:szCs w:val="24"/>
        </w:rPr>
        <w:t>项目名称：</w:t>
      </w:r>
      <w:bookmarkStart w:id="0" w:name="OLE_LINK1"/>
      <w:bookmarkStart w:id="1" w:name="OLE_LINK2"/>
      <w:r>
        <w:rPr>
          <w:rFonts w:ascii="宋体" w:hAnsi="宋体" w:eastAsia="宋体" w:cs="宋体"/>
          <w:b/>
          <w:bCs/>
          <w:sz w:val="21"/>
          <w:szCs w:val="21"/>
        </w:rPr>
        <w:t>广西中医药大学2025年医疗废物委托处置服务</w:t>
      </w:r>
      <w:bookmarkEnd w:id="0"/>
    </w:p>
    <w:p w14:paraId="32E01842">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宋体"/>
          <w:b/>
          <w:bCs/>
          <w:sz w:val="21"/>
          <w:szCs w:val="21"/>
        </w:rPr>
        <w:t>GUCM-2024-XJ-032-LF</w:t>
      </w:r>
    </w:p>
    <w:bookmarkEnd w:id="1"/>
    <w:p w14:paraId="3123FE9C">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A0B5BD">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6F7A2773">
      <w:pPr>
        <w:spacing w:line="360" w:lineRule="exact"/>
        <w:ind w:left="-10" w:leftChars="-5" w:right="2" w:rightChars="1" w:firstLine="422" w:firstLineChars="200"/>
        <w:rPr>
          <w:rFonts w:ascii="宋体" w:hAnsi="宋体" w:eastAsia="宋体" w:cs="Times New Roman"/>
          <w:b/>
          <w:bCs/>
          <w:szCs w:val="21"/>
        </w:rPr>
      </w:pPr>
    </w:p>
    <w:tbl>
      <w:tblPr>
        <w:tblStyle w:val="7"/>
        <w:tblW w:w="90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6"/>
        <w:gridCol w:w="2002"/>
        <w:gridCol w:w="1133"/>
        <w:gridCol w:w="709"/>
        <w:gridCol w:w="2127"/>
        <w:gridCol w:w="2231"/>
      </w:tblGrid>
      <w:tr w14:paraId="68A6A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71B51C8F">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14:paraId="0D93E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14:paraId="0FA21976">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2" w:type="dxa"/>
            <w:tcBorders>
              <w:top w:val="single" w:color="auto" w:sz="4" w:space="0"/>
              <w:left w:val="single" w:color="auto" w:sz="4" w:space="0"/>
              <w:bottom w:val="single" w:color="auto" w:sz="4" w:space="0"/>
              <w:right w:val="single" w:color="auto" w:sz="4" w:space="0"/>
            </w:tcBorders>
            <w:vAlign w:val="center"/>
          </w:tcPr>
          <w:p w14:paraId="349C5A2D">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3" w:type="dxa"/>
            <w:tcBorders>
              <w:top w:val="single" w:color="auto" w:sz="4" w:space="0"/>
              <w:left w:val="single" w:color="auto" w:sz="4" w:space="0"/>
              <w:bottom w:val="single" w:color="auto" w:sz="4" w:space="0"/>
              <w:right w:val="single" w:color="auto" w:sz="4" w:space="0"/>
            </w:tcBorders>
            <w:vAlign w:val="center"/>
          </w:tcPr>
          <w:p w14:paraId="74371A71">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067" w:type="dxa"/>
            <w:gridSpan w:val="3"/>
            <w:tcBorders>
              <w:top w:val="single" w:color="auto" w:sz="4" w:space="0"/>
              <w:left w:val="single" w:color="auto" w:sz="4" w:space="0"/>
              <w:bottom w:val="single" w:color="auto" w:sz="4" w:space="0"/>
              <w:right w:val="single" w:color="auto" w:sz="4" w:space="0"/>
            </w:tcBorders>
            <w:vAlign w:val="center"/>
          </w:tcPr>
          <w:p w14:paraId="6E1D1FEC">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44B17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14:paraId="1974445F">
            <w:pPr>
              <w:spacing w:line="360" w:lineRule="auto"/>
              <w:jc w:val="center"/>
              <w:rPr>
                <w:rFonts w:ascii="宋体" w:hAnsi="宋体" w:eastAsia="宋体" w:cs="Times New Roman"/>
                <w:b/>
                <w:szCs w:val="21"/>
              </w:rPr>
            </w:pPr>
            <w:r>
              <w:rPr>
                <w:rFonts w:ascii="宋体" w:hAnsi="宋体" w:eastAsia="宋体" w:cs="宋体"/>
                <w:b/>
                <w:bCs/>
                <w:sz w:val="21"/>
                <w:szCs w:val="21"/>
              </w:rPr>
              <w:t>广西中医药大学2025年医疗废物委托处置服务</w:t>
            </w:r>
          </w:p>
        </w:tc>
        <w:tc>
          <w:tcPr>
            <w:tcW w:w="2002" w:type="dxa"/>
            <w:tcBorders>
              <w:top w:val="single" w:color="auto" w:sz="4" w:space="0"/>
              <w:left w:val="single" w:color="auto" w:sz="4" w:space="0"/>
              <w:bottom w:val="single" w:color="auto" w:sz="4" w:space="0"/>
              <w:right w:val="single" w:color="auto" w:sz="4" w:space="0"/>
            </w:tcBorders>
            <w:vAlign w:val="center"/>
          </w:tcPr>
          <w:p w14:paraId="059E09B5">
            <w:pPr>
              <w:autoSpaceDE w:val="0"/>
              <w:autoSpaceDN w:val="0"/>
              <w:adjustRightInd w:val="0"/>
              <w:snapToGrid w:val="0"/>
              <w:rPr>
                <w:rFonts w:ascii="宋体" w:hAnsi="宋体" w:eastAsia="宋体" w:cs="Times New Roman"/>
                <w:szCs w:val="21"/>
              </w:rPr>
            </w:pPr>
            <w:r>
              <w:rPr>
                <w:rFonts w:ascii="宋体" w:hAnsi="宋体" w:eastAsia="宋体" w:cs="宋体"/>
                <w:b/>
                <w:bCs/>
                <w:sz w:val="21"/>
                <w:szCs w:val="21"/>
              </w:rPr>
              <w:t>广西中医药大学2025年医疗废物委托处置服务</w:t>
            </w:r>
          </w:p>
        </w:tc>
        <w:tc>
          <w:tcPr>
            <w:tcW w:w="1133" w:type="dxa"/>
            <w:tcBorders>
              <w:top w:val="single" w:color="auto" w:sz="4" w:space="0"/>
              <w:left w:val="single" w:color="auto" w:sz="4" w:space="0"/>
              <w:bottom w:val="single" w:color="auto" w:sz="4" w:space="0"/>
              <w:right w:val="single" w:color="auto" w:sz="4" w:space="0"/>
            </w:tcBorders>
            <w:vAlign w:val="center"/>
          </w:tcPr>
          <w:p w14:paraId="143090B5">
            <w:pPr>
              <w:spacing w:line="360" w:lineRule="auto"/>
              <w:jc w:val="center"/>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全年</w:t>
            </w:r>
          </w:p>
        </w:tc>
        <w:tc>
          <w:tcPr>
            <w:tcW w:w="5067" w:type="dxa"/>
            <w:gridSpan w:val="3"/>
            <w:tcBorders>
              <w:top w:val="single" w:color="auto" w:sz="4" w:space="0"/>
              <w:left w:val="single" w:color="auto" w:sz="4" w:space="0"/>
              <w:bottom w:val="single" w:color="auto" w:sz="4" w:space="0"/>
              <w:right w:val="single" w:color="auto" w:sz="4" w:space="0"/>
            </w:tcBorders>
            <w:vAlign w:val="center"/>
          </w:tcPr>
          <w:p w14:paraId="21243A56">
            <w:pPr>
              <w:pStyle w:val="2"/>
              <w:keepNext w:val="0"/>
              <w:keepLines w:val="0"/>
              <w:widowControl/>
              <w:suppressLineNumbers w:val="0"/>
              <w:shd w:val="clear" w:fill="FFFFFF"/>
              <w:spacing w:before="0" w:beforeAutospacing="0" w:after="30" w:afterAutospacing="0" w:line="450" w:lineRule="atLeast"/>
              <w:ind w:left="0" w:right="0" w:firstLine="0"/>
              <w:rPr>
                <w:rFonts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1. 服务内容和要求</w:t>
            </w:r>
          </w:p>
          <w:p w14:paraId="5C122ECD">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医疗废物的采购需求首先明确了服务的内容和要求。供应商需要按照采购人规定的时间和路线，将一定区域内的医疗废物安全收集运输到指定位置。在这个过程中，供应商必须严格遵循国家医废运输相关法律法规和地方行业规章，确保医疗废物的收集、贮存、交接、运输、处置全过程的智能化管理。此外，供应商还需要利用信息化手段提供医废转运信息和数据，保证转移联单内容和服务过程中信息的准确性和真实性。</w:t>
            </w:r>
          </w:p>
          <w:p w14:paraId="45F0EDCC">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2. 转运和车辆要求</w:t>
            </w:r>
          </w:p>
          <w:p w14:paraId="6BAB571C">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医疗废物的转运部分要求转运人员必须经过相关法律、专业技术、安全防护和安全管理等方面的培训。转运交接必须有交接登记，实行双签字制度，所有原始交接资料妥善保存5年。医疗废物集中收运处置单位需要核实医疗废物的种类、数量、标识等，检查外包装是否完好。运送工作结束后，要对运送工具和车辆及时进行清洁、消毒并留有洗消记录。转运车辆需要配备密闭厢型车，车厢内部应采用防水、耐腐蚀、便于消毒和清洗的材料，并经防渗处理，防止渗漏。车辆还应配备车载定位系统和可视监控系统，车内应配备相应的应急处理器材和安全消毒防护设备。</w:t>
            </w:r>
          </w:p>
          <w:p w14:paraId="3F69AE25">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3. 运营服务要求</w:t>
            </w:r>
          </w:p>
          <w:p w14:paraId="1988B366">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运营服务要求包括配备合格的驾驶员和医废收集人员，定期进行相关操作人员的医疗废物运输相关培训。相关工作人员应按要求统一着装，配备防护服、口罩、劳保鞋、一次性手套、消毒液等防护用品。医废收集人员应在小型医疗机构现场核实医疗废物并确认称重后，如实填写《危险废物转移联单》中的相关内容并签字确认。供应商应当制定医疗废物转运应急预案，配备应急预备救援人员和车辆、必要的应急救援器材和设备。</w:t>
            </w:r>
          </w:p>
          <w:p w14:paraId="28071104">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4. 管理和技术要求</w:t>
            </w:r>
          </w:p>
          <w:p w14:paraId="70F38DC6">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供应商需要建立一套医疗机构分类投放、分类收集、分类贮存、分类交接、分类转运的医疗废弃物管理系统，充分利用电子标签、二维码等信息化技术手段，确保医疗机构废弃物应分尽分和可追溯。供应商还要利用信息化手段提供医废转运信息和数据，及时反馈业务进展情况，保证转移联单内容和服务过程中信息的准确性和真实性。</w:t>
            </w:r>
          </w:p>
          <w:p w14:paraId="150CD483">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5. 法律和资质要求</w:t>
            </w:r>
          </w:p>
          <w:p w14:paraId="621A027A">
            <w:pPr>
              <w:pStyle w:val="6"/>
              <w:keepNext w:val="0"/>
              <w:keepLines w:val="0"/>
              <w:widowControl/>
              <w:suppressLineNumbers w:val="0"/>
              <w:shd w:val="clear" w:fill="FFFFFF"/>
              <w:spacing w:before="0" w:beforeAutospacing="0" w:after="180" w:afterAutospacing="0"/>
              <w:ind w:left="0" w:right="0" w:firstLine="0"/>
              <w:rPr>
                <w:rFonts w:hint="eastAsia" w:ascii="Segoe UI" w:hAnsi="Segoe UI" w:eastAsia="宋体" w:cs="Segoe UI"/>
                <w:i w:val="0"/>
                <w:iCs w:val="0"/>
                <w:caps w:val="0"/>
                <w:spacing w:val="0"/>
                <w:sz w:val="24"/>
                <w:szCs w:val="24"/>
                <w:lang w:eastAsia="zh-CN"/>
              </w:rPr>
            </w:pPr>
            <w:r>
              <w:rPr>
                <w:rFonts w:hint="default" w:ascii="Segoe UI" w:hAnsi="Segoe UI" w:eastAsia="Segoe UI" w:cs="Segoe UI"/>
                <w:i w:val="0"/>
                <w:iCs w:val="0"/>
                <w:caps w:val="0"/>
                <w:spacing w:val="0"/>
                <w:sz w:val="24"/>
                <w:szCs w:val="24"/>
                <w:shd w:val="clear" w:fill="FFFFFF"/>
              </w:rPr>
              <w:t>供应商必须具备环保部门颁发的危险废物经营许可证，保证进行医疗废物处置的场所是环保部门特许，且具备先进的处置设备和烟气净化系统的规范化危险废物集中处置场。投标方还应指定专人负责医疗废物交接工作，对移交的医疗废物进行核实后填写《危险废物转移联单》，按时上报环保部门存档，资料存档时间至少5年</w:t>
            </w:r>
            <w:r>
              <w:rPr>
                <w:rFonts w:hint="eastAsia" w:ascii="Segoe UI" w:hAnsi="Segoe UI" w:eastAsia="宋体" w:cs="Segoe UI"/>
                <w:i w:val="0"/>
                <w:iCs w:val="0"/>
                <w:caps w:val="0"/>
                <w:spacing w:val="0"/>
                <w:sz w:val="24"/>
                <w:szCs w:val="24"/>
                <w:shd w:val="clear" w:fill="FFFFFF"/>
                <w:lang w:eastAsia="zh-CN"/>
              </w:rPr>
              <w:t>。</w:t>
            </w:r>
          </w:p>
          <w:p w14:paraId="0E758AA9">
            <w:pPr>
              <w:autoSpaceDE w:val="0"/>
              <w:autoSpaceDN w:val="0"/>
              <w:adjustRightInd w:val="0"/>
              <w:spacing w:line="360" w:lineRule="auto"/>
              <w:jc w:val="left"/>
              <w:rPr>
                <w:rFonts w:hint="default" w:ascii="宋体" w:hAnsi="宋体" w:eastAsia="宋体" w:cs="Times New Roman"/>
                <w:b w:val="0"/>
                <w:bCs w:val="0"/>
                <w:szCs w:val="21"/>
                <w:lang w:val="en-US" w:eastAsia="zh-CN"/>
              </w:rPr>
            </w:pPr>
          </w:p>
        </w:tc>
      </w:tr>
      <w:tr w14:paraId="7EB20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50B5499C">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5A71F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57396FFB">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商务响应情况：</w:t>
            </w:r>
          </w:p>
        </w:tc>
      </w:tr>
      <w:tr w14:paraId="27CEA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6A3A8155">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378A6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084C9593">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w:t>
            </w:r>
            <w:r>
              <w:rPr>
                <w:rFonts w:hint="eastAsia" w:ascii="宋体" w:hAnsi="宋体" w:eastAsia="宋体" w:cs="Times New Roman"/>
                <w:szCs w:val="21"/>
                <w:lang w:eastAsia="zh-CN"/>
              </w:rPr>
              <w:t>处置</w:t>
            </w:r>
            <w:r>
              <w:rPr>
                <w:rFonts w:hint="eastAsia" w:ascii="宋体" w:hAnsi="宋体" w:eastAsia="宋体" w:cs="Times New Roman"/>
                <w:szCs w:val="21"/>
              </w:rPr>
              <w:t>价格、运输费、</w:t>
            </w:r>
            <w:r>
              <w:rPr>
                <w:rFonts w:hint="eastAsia" w:ascii="宋体" w:hAnsi="宋体" w:eastAsia="宋体" w:cs="Times New Roman"/>
                <w:szCs w:val="21"/>
                <w:lang w:eastAsia="zh-CN"/>
              </w:rPr>
              <w:t>搬运费、</w:t>
            </w:r>
            <w:r>
              <w:rPr>
                <w:rFonts w:hint="eastAsia" w:ascii="宋体" w:hAnsi="宋体" w:eastAsia="宋体" w:cs="Times New Roman"/>
                <w:szCs w:val="21"/>
              </w:rPr>
              <w:t>税费等全部费用。</w:t>
            </w:r>
          </w:p>
        </w:tc>
      </w:tr>
      <w:tr w14:paraId="43C09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63B8682F">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8" w:type="dxa"/>
            <w:gridSpan w:val="2"/>
            <w:tcBorders>
              <w:top w:val="single" w:color="auto" w:sz="4" w:space="0"/>
              <w:left w:val="single" w:color="auto" w:sz="4" w:space="0"/>
              <w:bottom w:val="single" w:color="auto" w:sz="4" w:space="0"/>
              <w:right w:val="single" w:color="auto" w:sz="4" w:space="0"/>
            </w:tcBorders>
            <w:vAlign w:val="center"/>
          </w:tcPr>
          <w:p w14:paraId="7FE7B5CF">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3" w:type="dxa"/>
            <w:tcBorders>
              <w:top w:val="single" w:color="auto" w:sz="4" w:space="0"/>
              <w:left w:val="single" w:color="auto" w:sz="4" w:space="0"/>
              <w:bottom w:val="single" w:color="auto" w:sz="4" w:space="0"/>
              <w:right w:val="single" w:color="auto" w:sz="4" w:space="0"/>
            </w:tcBorders>
            <w:vAlign w:val="center"/>
          </w:tcPr>
          <w:p w14:paraId="2680180C">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58E13FE8">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7" w:type="dxa"/>
            <w:tcBorders>
              <w:top w:val="single" w:color="auto" w:sz="4" w:space="0"/>
              <w:left w:val="single" w:color="auto" w:sz="4" w:space="0"/>
              <w:bottom w:val="single" w:color="auto" w:sz="4" w:space="0"/>
              <w:right w:val="single" w:color="auto" w:sz="4" w:space="0"/>
            </w:tcBorders>
            <w:vAlign w:val="center"/>
          </w:tcPr>
          <w:p w14:paraId="2380F766">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2231" w:type="dxa"/>
            <w:tcBorders>
              <w:top w:val="single" w:color="auto" w:sz="4" w:space="0"/>
              <w:left w:val="single" w:color="auto" w:sz="4" w:space="0"/>
              <w:bottom w:val="single" w:color="auto" w:sz="4" w:space="0"/>
              <w:right w:val="single" w:color="auto" w:sz="4" w:space="0"/>
            </w:tcBorders>
            <w:vAlign w:val="center"/>
          </w:tcPr>
          <w:p w14:paraId="6A879480">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金额（万元）</w:t>
            </w:r>
          </w:p>
          <w:p w14:paraId="0ED6094B">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75580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14:paraId="6B8398B9">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18BA809">
            <w:pPr>
              <w:widowControl/>
              <w:jc w:val="both"/>
              <w:textAlignment w:val="center"/>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lang w:eastAsia="zh-CN"/>
              </w:rPr>
              <w:t>医疗废物处置包月费用</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16E8D0B4">
            <w:pPr>
              <w:widowControl/>
              <w:jc w:val="center"/>
              <w:rPr>
                <w:rFonts w:hint="default" w:ascii="宋体" w:hAnsi="宋体" w:eastAsia="宋体" w:cs="Times New Roman"/>
                <w:szCs w:val="21"/>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9FDAFB">
            <w:pPr>
              <w:widowControl/>
              <w:jc w:val="both"/>
              <w:rPr>
                <w:rFonts w:hint="default" w:ascii="宋体" w:hAnsi="宋体" w:eastAsia="宋体" w:cs="Times New Roman"/>
                <w:szCs w:val="21"/>
                <w:lang w:val="en-US" w:eastAsia="zh-CN"/>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40EFB9B">
            <w:pPr>
              <w:widowControl/>
              <w:jc w:val="center"/>
              <w:textAlignment w:val="center"/>
              <w:rPr>
                <w:rFonts w:hint="default" w:ascii="宋体" w:hAnsi="宋体" w:eastAsia="宋体" w:cs="宋体"/>
                <w:color w:val="FF0000"/>
                <w:kern w:val="0"/>
                <w:szCs w:val="21"/>
                <w:lang w:val="en-US" w:eastAsia="zh-CN"/>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14:paraId="1F6481DB">
            <w:pPr>
              <w:widowControl/>
              <w:jc w:val="both"/>
              <w:textAlignment w:val="center"/>
              <w:rPr>
                <w:rFonts w:hint="default" w:ascii="宋体" w:hAnsi="宋体" w:eastAsia="宋体" w:cs="宋体"/>
                <w:color w:val="FF0000"/>
                <w:kern w:val="0"/>
                <w:szCs w:val="21"/>
                <w:lang w:val="en-US" w:eastAsia="zh-CN"/>
              </w:rPr>
            </w:pPr>
          </w:p>
        </w:tc>
      </w:tr>
      <w:tr w14:paraId="540E2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14:paraId="5796F93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14:paraId="687C9317">
            <w:pPr>
              <w:widowControl/>
              <w:jc w:val="center"/>
              <w:textAlignment w:val="center"/>
              <w:rPr>
                <w:rFonts w:ascii="宋体" w:hAnsi="宋体" w:eastAsia="宋体" w:cs="宋体"/>
                <w:b/>
                <w:color w:val="000000"/>
                <w:kern w:val="0"/>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7106F2AD">
            <w:pPr>
              <w:widowControl/>
              <w:jc w:val="center"/>
              <w:rPr>
                <w:rFonts w:ascii="宋体" w:hAnsi="宋体" w:eastAsia="宋体" w:cs="Times New Roman"/>
                <w:szCs w:val="21"/>
              </w:rPr>
            </w:pPr>
          </w:p>
        </w:tc>
        <w:tc>
          <w:tcPr>
            <w:tcW w:w="709" w:type="dxa"/>
            <w:tcBorders>
              <w:top w:val="nil"/>
              <w:left w:val="single" w:color="auto" w:sz="4" w:space="0"/>
              <w:bottom w:val="single" w:color="auto" w:sz="4" w:space="0"/>
              <w:right w:val="single" w:color="auto" w:sz="4" w:space="0"/>
            </w:tcBorders>
            <w:shd w:val="clear" w:color="auto" w:fill="auto"/>
            <w:vAlign w:val="center"/>
          </w:tcPr>
          <w:p w14:paraId="5A131F76">
            <w:pPr>
              <w:widowControl/>
              <w:jc w:val="center"/>
              <w:rPr>
                <w:rFonts w:ascii="宋体" w:hAnsi="宋体" w:eastAsia="宋体" w:cs="Times New Roman"/>
                <w:szCs w:val="21"/>
              </w:rPr>
            </w:pPr>
          </w:p>
        </w:tc>
        <w:tc>
          <w:tcPr>
            <w:tcW w:w="2127" w:type="dxa"/>
            <w:tcBorders>
              <w:top w:val="nil"/>
              <w:left w:val="single" w:color="auto" w:sz="4" w:space="0"/>
              <w:bottom w:val="single" w:color="auto" w:sz="4" w:space="0"/>
              <w:right w:val="single" w:color="auto" w:sz="4" w:space="0"/>
            </w:tcBorders>
            <w:shd w:val="clear" w:color="auto" w:fill="auto"/>
            <w:vAlign w:val="center"/>
          </w:tcPr>
          <w:p w14:paraId="68477CE9">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14:paraId="10E33AA2">
            <w:pPr>
              <w:widowControl/>
              <w:jc w:val="center"/>
              <w:textAlignment w:val="center"/>
              <w:rPr>
                <w:rFonts w:ascii="宋体" w:hAnsi="宋体" w:eastAsia="宋体" w:cs="宋体"/>
                <w:color w:val="FF0000"/>
                <w:kern w:val="0"/>
                <w:szCs w:val="21"/>
              </w:rPr>
            </w:pPr>
          </w:p>
        </w:tc>
      </w:tr>
      <w:tr w14:paraId="52428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14:paraId="098B149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14:paraId="3FE75A61">
            <w:pPr>
              <w:widowControl/>
              <w:jc w:val="center"/>
              <w:textAlignment w:val="center"/>
              <w:rPr>
                <w:rFonts w:ascii="宋体" w:hAnsi="宋体" w:eastAsia="宋体" w:cs="宋体"/>
                <w:b/>
                <w:color w:val="000000"/>
                <w:kern w:val="0"/>
                <w:szCs w:val="21"/>
              </w:rPr>
            </w:pPr>
          </w:p>
        </w:tc>
        <w:tc>
          <w:tcPr>
            <w:tcW w:w="1133" w:type="dxa"/>
            <w:tcBorders>
              <w:top w:val="nil"/>
              <w:left w:val="single" w:color="auto" w:sz="4" w:space="0"/>
              <w:bottom w:val="single" w:color="auto" w:sz="4" w:space="0"/>
              <w:right w:val="single" w:color="auto" w:sz="4" w:space="0"/>
            </w:tcBorders>
            <w:shd w:val="clear" w:color="auto" w:fill="auto"/>
            <w:vAlign w:val="center"/>
          </w:tcPr>
          <w:p w14:paraId="2E70BE8C">
            <w:pPr>
              <w:ind w:firstLine="315" w:firstLineChars="150"/>
              <w:rPr>
                <w:rFonts w:ascii="宋体" w:hAnsi="宋体" w:eastAsia="宋体" w:cs="Times New Roman"/>
                <w:szCs w:val="21"/>
              </w:rPr>
            </w:pPr>
          </w:p>
        </w:tc>
        <w:tc>
          <w:tcPr>
            <w:tcW w:w="709" w:type="dxa"/>
            <w:tcBorders>
              <w:top w:val="nil"/>
              <w:left w:val="single" w:color="auto" w:sz="4" w:space="0"/>
              <w:bottom w:val="single" w:color="auto" w:sz="4" w:space="0"/>
              <w:right w:val="single" w:color="auto" w:sz="4" w:space="0"/>
            </w:tcBorders>
            <w:shd w:val="clear" w:color="auto" w:fill="auto"/>
            <w:vAlign w:val="center"/>
          </w:tcPr>
          <w:p w14:paraId="241D5095">
            <w:pPr>
              <w:ind w:firstLine="105" w:firstLineChars="50"/>
              <w:jc w:val="center"/>
              <w:rPr>
                <w:rFonts w:ascii="宋体" w:hAnsi="宋体" w:eastAsia="宋体" w:cs="Times New Roman"/>
                <w:szCs w:val="21"/>
              </w:rPr>
            </w:pPr>
          </w:p>
        </w:tc>
        <w:tc>
          <w:tcPr>
            <w:tcW w:w="2127" w:type="dxa"/>
            <w:tcBorders>
              <w:top w:val="nil"/>
              <w:left w:val="single" w:color="auto" w:sz="4" w:space="0"/>
              <w:bottom w:val="single" w:color="auto" w:sz="4" w:space="0"/>
              <w:right w:val="single" w:color="auto" w:sz="4" w:space="0"/>
            </w:tcBorders>
            <w:shd w:val="clear" w:color="auto" w:fill="auto"/>
            <w:vAlign w:val="center"/>
          </w:tcPr>
          <w:p w14:paraId="0E616A4A">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14:paraId="3D6BE4A5">
            <w:pPr>
              <w:widowControl/>
              <w:jc w:val="center"/>
              <w:textAlignment w:val="center"/>
              <w:rPr>
                <w:rFonts w:ascii="宋体" w:hAnsi="宋体" w:eastAsia="宋体" w:cs="宋体"/>
                <w:color w:val="FF0000"/>
                <w:kern w:val="0"/>
                <w:szCs w:val="21"/>
              </w:rPr>
            </w:pPr>
          </w:p>
        </w:tc>
      </w:tr>
      <w:tr w14:paraId="758B5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6969143D">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报价总价大写：</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小写人民币：</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元</w:t>
            </w:r>
          </w:p>
        </w:tc>
      </w:tr>
    </w:tbl>
    <w:p w14:paraId="6B957C76">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14:paraId="6CFBAF03">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2A760895">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22BD135F">
      <w:pPr>
        <w:pStyle w:val="2"/>
      </w:pPr>
    </w:p>
    <w:p w14:paraId="2DD848F3">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200" w:right="1558" w:bottom="2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524735"/>
    <w:rsid w:val="00001C4D"/>
    <w:rsid w:val="000151A7"/>
    <w:rsid w:val="00015768"/>
    <w:rsid w:val="00023BD5"/>
    <w:rsid w:val="00057E4B"/>
    <w:rsid w:val="000662E8"/>
    <w:rsid w:val="000A7F3A"/>
    <w:rsid w:val="000D5670"/>
    <w:rsid w:val="000E0562"/>
    <w:rsid w:val="00111693"/>
    <w:rsid w:val="001373A8"/>
    <w:rsid w:val="00157A8E"/>
    <w:rsid w:val="00176973"/>
    <w:rsid w:val="001A0047"/>
    <w:rsid w:val="001A6750"/>
    <w:rsid w:val="001B34DC"/>
    <w:rsid w:val="001B4A32"/>
    <w:rsid w:val="001C0DAF"/>
    <w:rsid w:val="001E7733"/>
    <w:rsid w:val="00206F37"/>
    <w:rsid w:val="00223331"/>
    <w:rsid w:val="0024086D"/>
    <w:rsid w:val="002708B5"/>
    <w:rsid w:val="0029114E"/>
    <w:rsid w:val="00296E65"/>
    <w:rsid w:val="002C493F"/>
    <w:rsid w:val="002E0607"/>
    <w:rsid w:val="002F4F7E"/>
    <w:rsid w:val="003204C8"/>
    <w:rsid w:val="0033284B"/>
    <w:rsid w:val="00337925"/>
    <w:rsid w:val="00346371"/>
    <w:rsid w:val="003569A7"/>
    <w:rsid w:val="003672AA"/>
    <w:rsid w:val="00396B29"/>
    <w:rsid w:val="003A6D4F"/>
    <w:rsid w:val="003B0BC1"/>
    <w:rsid w:val="003B0D49"/>
    <w:rsid w:val="003E7362"/>
    <w:rsid w:val="004004BB"/>
    <w:rsid w:val="00405D87"/>
    <w:rsid w:val="004269CC"/>
    <w:rsid w:val="00481137"/>
    <w:rsid w:val="004C21B1"/>
    <w:rsid w:val="004C5F6C"/>
    <w:rsid w:val="00507281"/>
    <w:rsid w:val="0051140A"/>
    <w:rsid w:val="00524735"/>
    <w:rsid w:val="005312D8"/>
    <w:rsid w:val="00563B34"/>
    <w:rsid w:val="00590B6E"/>
    <w:rsid w:val="005944DC"/>
    <w:rsid w:val="005D08A8"/>
    <w:rsid w:val="005D624B"/>
    <w:rsid w:val="005E52CA"/>
    <w:rsid w:val="005F16FF"/>
    <w:rsid w:val="006027D7"/>
    <w:rsid w:val="00604BDC"/>
    <w:rsid w:val="00624C56"/>
    <w:rsid w:val="006337F3"/>
    <w:rsid w:val="00646231"/>
    <w:rsid w:val="006552B4"/>
    <w:rsid w:val="006A130D"/>
    <w:rsid w:val="006F55C4"/>
    <w:rsid w:val="006F69B2"/>
    <w:rsid w:val="006F7030"/>
    <w:rsid w:val="007047E7"/>
    <w:rsid w:val="00710E97"/>
    <w:rsid w:val="007169EB"/>
    <w:rsid w:val="00721CE0"/>
    <w:rsid w:val="00755828"/>
    <w:rsid w:val="00762DF7"/>
    <w:rsid w:val="007C2B74"/>
    <w:rsid w:val="007C339F"/>
    <w:rsid w:val="007F6B6A"/>
    <w:rsid w:val="0083146F"/>
    <w:rsid w:val="0085079A"/>
    <w:rsid w:val="0086224C"/>
    <w:rsid w:val="00880385"/>
    <w:rsid w:val="00890449"/>
    <w:rsid w:val="008D0D3D"/>
    <w:rsid w:val="008E4DE4"/>
    <w:rsid w:val="008F2A60"/>
    <w:rsid w:val="008F74D2"/>
    <w:rsid w:val="00991794"/>
    <w:rsid w:val="009952DE"/>
    <w:rsid w:val="009C57F8"/>
    <w:rsid w:val="009E0515"/>
    <w:rsid w:val="00A060AF"/>
    <w:rsid w:val="00A50EBB"/>
    <w:rsid w:val="00A62D7A"/>
    <w:rsid w:val="00A67BE2"/>
    <w:rsid w:val="00A71325"/>
    <w:rsid w:val="00A8452E"/>
    <w:rsid w:val="00A9771F"/>
    <w:rsid w:val="00AC4040"/>
    <w:rsid w:val="00AD59A6"/>
    <w:rsid w:val="00AD76FB"/>
    <w:rsid w:val="00AF5446"/>
    <w:rsid w:val="00B064FB"/>
    <w:rsid w:val="00B1181B"/>
    <w:rsid w:val="00B22DB8"/>
    <w:rsid w:val="00B27915"/>
    <w:rsid w:val="00B746CC"/>
    <w:rsid w:val="00B904F5"/>
    <w:rsid w:val="00B91803"/>
    <w:rsid w:val="00B965A5"/>
    <w:rsid w:val="00B96E10"/>
    <w:rsid w:val="00BA1055"/>
    <w:rsid w:val="00BA2E26"/>
    <w:rsid w:val="00BB16E6"/>
    <w:rsid w:val="00BD7727"/>
    <w:rsid w:val="00BF0F70"/>
    <w:rsid w:val="00C17FE5"/>
    <w:rsid w:val="00C47AFF"/>
    <w:rsid w:val="00C53609"/>
    <w:rsid w:val="00CE6D71"/>
    <w:rsid w:val="00CF0D73"/>
    <w:rsid w:val="00CF76F9"/>
    <w:rsid w:val="00D077FD"/>
    <w:rsid w:val="00D13EEC"/>
    <w:rsid w:val="00D50CB5"/>
    <w:rsid w:val="00D90C70"/>
    <w:rsid w:val="00DA1CFD"/>
    <w:rsid w:val="00DE22AA"/>
    <w:rsid w:val="00DE5392"/>
    <w:rsid w:val="00E24A0E"/>
    <w:rsid w:val="00E4026B"/>
    <w:rsid w:val="00E72F0B"/>
    <w:rsid w:val="00E73DC4"/>
    <w:rsid w:val="00E82004"/>
    <w:rsid w:val="00E85EB0"/>
    <w:rsid w:val="00E93312"/>
    <w:rsid w:val="00EA5557"/>
    <w:rsid w:val="00EE5DEA"/>
    <w:rsid w:val="00F328EB"/>
    <w:rsid w:val="00F45CD2"/>
    <w:rsid w:val="00F56E46"/>
    <w:rsid w:val="00F77061"/>
    <w:rsid w:val="00FE76F2"/>
    <w:rsid w:val="02990C86"/>
    <w:rsid w:val="04B252B7"/>
    <w:rsid w:val="06696C18"/>
    <w:rsid w:val="08711E6A"/>
    <w:rsid w:val="08FE3622"/>
    <w:rsid w:val="116021A5"/>
    <w:rsid w:val="15082937"/>
    <w:rsid w:val="15363948"/>
    <w:rsid w:val="155142DE"/>
    <w:rsid w:val="18A33D59"/>
    <w:rsid w:val="18ED5352"/>
    <w:rsid w:val="196C5B8A"/>
    <w:rsid w:val="19A10B83"/>
    <w:rsid w:val="1B3A34BE"/>
    <w:rsid w:val="20C46CE7"/>
    <w:rsid w:val="21D40771"/>
    <w:rsid w:val="221E6C99"/>
    <w:rsid w:val="22804455"/>
    <w:rsid w:val="22DD75EC"/>
    <w:rsid w:val="25201F1F"/>
    <w:rsid w:val="258C10EE"/>
    <w:rsid w:val="28E3564E"/>
    <w:rsid w:val="2A8A6882"/>
    <w:rsid w:val="2DB11966"/>
    <w:rsid w:val="2F191259"/>
    <w:rsid w:val="30B71989"/>
    <w:rsid w:val="365D57F4"/>
    <w:rsid w:val="36EA2335"/>
    <w:rsid w:val="38D46E50"/>
    <w:rsid w:val="38F0754B"/>
    <w:rsid w:val="3A6765BE"/>
    <w:rsid w:val="3AE01ADD"/>
    <w:rsid w:val="3C0D56D3"/>
    <w:rsid w:val="3CD46809"/>
    <w:rsid w:val="3E9230EE"/>
    <w:rsid w:val="3F890995"/>
    <w:rsid w:val="47F44134"/>
    <w:rsid w:val="48154D05"/>
    <w:rsid w:val="4AAD305D"/>
    <w:rsid w:val="4DA1334D"/>
    <w:rsid w:val="4E487C6D"/>
    <w:rsid w:val="502B6EFE"/>
    <w:rsid w:val="54212AF2"/>
    <w:rsid w:val="54D23DEC"/>
    <w:rsid w:val="54DC2F82"/>
    <w:rsid w:val="59D53026"/>
    <w:rsid w:val="5FEC48FC"/>
    <w:rsid w:val="66952ECC"/>
    <w:rsid w:val="6A4410A4"/>
    <w:rsid w:val="6B021A3D"/>
    <w:rsid w:val="6CC369E5"/>
    <w:rsid w:val="70567B70"/>
    <w:rsid w:val="789E3E62"/>
    <w:rsid w:val="7961387E"/>
    <w:rsid w:val="7B2A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1305</Words>
  <Characters>1338</Characters>
  <Lines>5</Lines>
  <Paragraphs>1</Paragraphs>
  <TotalTime>9</TotalTime>
  <ScaleCrop>false</ScaleCrop>
  <LinksUpToDate>false</LinksUpToDate>
  <CharactersWithSpaces>1452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夏坚</cp:lastModifiedBy>
  <cp:lastPrinted>2024-11-13T07:01:00Z</cp:lastPrinted>
  <dcterms:modified xsi:type="dcterms:W3CDTF">2024-11-18T04:18:12Z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1331417C877F441B8544A8F934D99538</vt:lpwstr>
  </property>
</Properties>
</file>