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A703C">
      <w:pPr>
        <w:spacing w:line="400" w:lineRule="exact"/>
        <w:rPr>
          <w:rFonts w:ascii="Times New Roman" w:hAnsi="Times New Roman" w:eastAsia="宋体" w:cs="Times New Roman"/>
          <w:b/>
          <w:sz w:val="28"/>
          <w:szCs w:val="28"/>
        </w:rPr>
      </w:pPr>
      <w:r>
        <w:rPr>
          <w:rFonts w:ascii="Times New Roman" w:hAnsi="Times New Roman" w:eastAsia="宋体" w:cs="Times New Roman"/>
          <w:b/>
          <w:sz w:val="28"/>
          <w:szCs w:val="28"/>
        </w:rPr>
        <w:t>附件3</w:t>
      </w:r>
    </w:p>
    <w:p w14:paraId="33308E88">
      <w:pPr>
        <w:spacing w:line="400" w:lineRule="exact"/>
        <w:jc w:val="center"/>
        <w:rPr>
          <w:rFonts w:ascii="Times New Roman" w:hAnsi="Times New Roman" w:eastAsia="宋体" w:cs="Times New Roman"/>
          <w:b/>
          <w:sz w:val="28"/>
          <w:szCs w:val="28"/>
        </w:rPr>
      </w:pPr>
      <w:r>
        <w:rPr>
          <w:rFonts w:ascii="Times New Roman" w:hAnsi="Times New Roman" w:eastAsia="宋体" w:cs="Times New Roman"/>
          <w:b/>
          <w:sz w:val="28"/>
          <w:szCs w:val="28"/>
        </w:rPr>
        <w:t>采购需求</w:t>
      </w:r>
    </w:p>
    <w:tbl>
      <w:tblPr>
        <w:tblStyle w:val="11"/>
        <w:tblW w:w="92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4"/>
        <w:gridCol w:w="1219"/>
        <w:gridCol w:w="57"/>
        <w:gridCol w:w="1134"/>
        <w:gridCol w:w="709"/>
        <w:gridCol w:w="5496"/>
      </w:tblGrid>
      <w:tr w14:paraId="5DFD70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14:paraId="68D8BDFD">
            <w:pPr>
              <w:spacing w:line="240" w:lineRule="auto"/>
              <w:jc w:val="left"/>
              <w:rPr>
                <w:rFonts w:ascii="Times New Roman" w:hAnsi="Times New Roman" w:eastAsia="宋体" w:cs="Times New Roman"/>
                <w:b/>
                <w:szCs w:val="21"/>
              </w:rPr>
            </w:pPr>
            <w:r>
              <w:rPr>
                <w:rFonts w:ascii="Times New Roman" w:hAnsi="Times New Roman" w:eastAsia="宋体" w:cs="Times New Roman"/>
                <w:b/>
                <w:szCs w:val="21"/>
              </w:rPr>
              <w:t>一、物品参数需求</w:t>
            </w:r>
          </w:p>
        </w:tc>
      </w:tr>
      <w:tr w14:paraId="27DE3C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5EDD0C70">
            <w:pPr>
              <w:spacing w:line="240" w:lineRule="auto"/>
              <w:jc w:val="center"/>
              <w:rPr>
                <w:rFonts w:ascii="Times New Roman" w:hAnsi="Times New Roman" w:eastAsia="宋体" w:cs="Times New Roman"/>
                <w:b/>
                <w:szCs w:val="21"/>
              </w:rPr>
            </w:pPr>
            <w:r>
              <w:rPr>
                <w:rFonts w:ascii="Times New Roman" w:hAnsi="Times New Roman" w:eastAsia="宋体" w:cs="Times New Roman"/>
                <w:b/>
                <w:szCs w:val="21"/>
              </w:rPr>
              <w:t>序号</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613305B8">
            <w:pPr>
              <w:spacing w:line="240" w:lineRule="auto"/>
              <w:jc w:val="center"/>
              <w:rPr>
                <w:rFonts w:ascii="Times New Roman" w:hAnsi="Times New Roman" w:eastAsia="宋体" w:cs="Times New Roman"/>
                <w:b/>
                <w:szCs w:val="21"/>
              </w:rPr>
            </w:pPr>
            <w:r>
              <w:rPr>
                <w:rFonts w:ascii="Times New Roman" w:hAnsi="Times New Roman" w:eastAsia="宋体" w:cs="Times New Roman"/>
                <w:b/>
                <w:szCs w:val="21"/>
              </w:rPr>
              <w:t>采购物品名称</w:t>
            </w:r>
          </w:p>
        </w:tc>
        <w:tc>
          <w:tcPr>
            <w:tcW w:w="1134" w:type="dxa"/>
            <w:tcBorders>
              <w:top w:val="single" w:color="auto" w:sz="4" w:space="0"/>
              <w:left w:val="single" w:color="auto" w:sz="4" w:space="0"/>
              <w:bottom w:val="single" w:color="auto" w:sz="4" w:space="0"/>
              <w:right w:val="single" w:color="auto" w:sz="4" w:space="0"/>
            </w:tcBorders>
            <w:vAlign w:val="center"/>
          </w:tcPr>
          <w:p w14:paraId="7D6F464C">
            <w:pPr>
              <w:spacing w:line="240" w:lineRule="auto"/>
              <w:jc w:val="center"/>
              <w:rPr>
                <w:rFonts w:ascii="Times New Roman" w:hAnsi="Times New Roman" w:eastAsia="宋体" w:cs="Times New Roman"/>
                <w:b/>
                <w:szCs w:val="21"/>
              </w:rPr>
            </w:pPr>
            <w:r>
              <w:rPr>
                <w:rFonts w:ascii="Times New Roman" w:hAnsi="Times New Roman" w:eastAsia="宋体" w:cs="Times New Roman"/>
                <w:b/>
                <w:szCs w:val="21"/>
              </w:rPr>
              <w:t>品牌</w:t>
            </w:r>
          </w:p>
        </w:tc>
        <w:tc>
          <w:tcPr>
            <w:tcW w:w="709" w:type="dxa"/>
            <w:tcBorders>
              <w:top w:val="single" w:color="auto" w:sz="4" w:space="0"/>
              <w:left w:val="single" w:color="auto" w:sz="4" w:space="0"/>
              <w:bottom w:val="single" w:color="auto" w:sz="4" w:space="0"/>
              <w:right w:val="single" w:color="auto" w:sz="4" w:space="0"/>
            </w:tcBorders>
            <w:vAlign w:val="center"/>
          </w:tcPr>
          <w:p w14:paraId="6CE8BFC6">
            <w:pPr>
              <w:spacing w:line="240" w:lineRule="auto"/>
              <w:jc w:val="center"/>
              <w:rPr>
                <w:rFonts w:ascii="Times New Roman" w:hAnsi="Times New Roman" w:eastAsia="宋体" w:cs="Times New Roman"/>
                <w:b/>
                <w:szCs w:val="21"/>
              </w:rPr>
            </w:pPr>
            <w:r>
              <w:rPr>
                <w:rFonts w:ascii="Times New Roman" w:hAnsi="Times New Roman" w:eastAsia="宋体" w:cs="Times New Roman"/>
                <w:b/>
                <w:szCs w:val="21"/>
              </w:rPr>
              <w:t>数量单位</w:t>
            </w:r>
          </w:p>
        </w:tc>
        <w:tc>
          <w:tcPr>
            <w:tcW w:w="5496" w:type="dxa"/>
            <w:tcBorders>
              <w:top w:val="single" w:color="auto" w:sz="4" w:space="0"/>
              <w:left w:val="single" w:color="auto" w:sz="4" w:space="0"/>
              <w:bottom w:val="single" w:color="auto" w:sz="4" w:space="0"/>
              <w:right w:val="single" w:color="auto" w:sz="4" w:space="0"/>
            </w:tcBorders>
            <w:vAlign w:val="center"/>
          </w:tcPr>
          <w:p w14:paraId="38120F35">
            <w:pPr>
              <w:spacing w:line="240" w:lineRule="auto"/>
              <w:jc w:val="center"/>
              <w:rPr>
                <w:rFonts w:ascii="Times New Roman" w:hAnsi="Times New Roman" w:eastAsia="宋体" w:cs="Times New Roman"/>
                <w:b/>
                <w:szCs w:val="21"/>
              </w:rPr>
            </w:pPr>
            <w:r>
              <w:rPr>
                <w:rFonts w:ascii="Times New Roman" w:hAnsi="Times New Roman" w:eastAsia="宋体" w:cs="Times New Roman"/>
                <w:b/>
                <w:szCs w:val="21"/>
              </w:rPr>
              <w:t>项目要求及物品参数需求</w:t>
            </w:r>
          </w:p>
        </w:tc>
      </w:tr>
      <w:tr w14:paraId="542696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13D2F276">
            <w:pPr>
              <w:spacing w:line="240" w:lineRule="auto"/>
              <w:jc w:val="center"/>
              <w:rPr>
                <w:rFonts w:ascii="Times New Roman" w:hAnsi="Times New Roman" w:eastAsia="宋体" w:cs="Times New Roman"/>
                <w:szCs w:val="21"/>
              </w:rPr>
            </w:pPr>
            <w:r>
              <w:rPr>
                <w:rFonts w:ascii="Times New Roman" w:hAnsi="Times New Roman" w:eastAsia="宋体" w:cs="Times New Roman"/>
                <w:szCs w:val="21"/>
              </w:rPr>
              <w:t>1</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1EAC6778">
            <w:pPr>
              <w:autoSpaceDE w:val="0"/>
              <w:autoSpaceDN w:val="0"/>
              <w:adjustRightInd w:val="0"/>
              <w:spacing w:line="240" w:lineRule="auto"/>
              <w:jc w:val="center"/>
              <w:rPr>
                <w:rFonts w:ascii="Times New Roman" w:hAnsi="Times New Roman" w:eastAsia="宋体" w:cs="Times New Roman"/>
                <w:kern w:val="0"/>
                <w:szCs w:val="21"/>
              </w:rPr>
            </w:pPr>
            <w:r>
              <w:rPr>
                <w:rFonts w:ascii="Times New Roman" w:hAnsi="Times New Roman" w:eastAsia="宋体" w:cs="Times New Roman"/>
                <w:szCs w:val="21"/>
              </w:rPr>
              <w:t>“养老机构适老化环境改造”虚拟仿真实训系统</w:t>
            </w:r>
          </w:p>
        </w:tc>
        <w:tc>
          <w:tcPr>
            <w:tcW w:w="1134" w:type="dxa"/>
            <w:tcBorders>
              <w:top w:val="single" w:color="auto" w:sz="4" w:space="0"/>
              <w:left w:val="single" w:color="auto" w:sz="4" w:space="0"/>
              <w:bottom w:val="single" w:color="auto" w:sz="4" w:space="0"/>
              <w:right w:val="single" w:color="auto" w:sz="4" w:space="0"/>
            </w:tcBorders>
            <w:vAlign w:val="center"/>
          </w:tcPr>
          <w:p w14:paraId="570A2ED3">
            <w:pPr>
              <w:spacing w:line="240" w:lineRule="auto"/>
              <w:jc w:val="center"/>
              <w:rPr>
                <w:rFonts w:ascii="Times New Roman" w:hAnsi="Times New Roman" w:eastAsia="宋体" w:cs="Times New Roman"/>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CB33263">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1套</w:t>
            </w:r>
          </w:p>
        </w:tc>
        <w:tc>
          <w:tcPr>
            <w:tcW w:w="5496" w:type="dxa"/>
            <w:tcBorders>
              <w:top w:val="single" w:color="auto" w:sz="4" w:space="0"/>
              <w:left w:val="single" w:color="auto" w:sz="4" w:space="0"/>
              <w:bottom w:val="single" w:color="auto" w:sz="4" w:space="0"/>
              <w:right w:val="single" w:color="auto" w:sz="4" w:space="0"/>
            </w:tcBorders>
            <w:vAlign w:val="center"/>
          </w:tcPr>
          <w:p w14:paraId="7AE9DBA3">
            <w:pPr>
              <w:pStyle w:val="37"/>
              <w:numPr>
                <w:ilvl w:val="0"/>
                <w:numId w:val="1"/>
              </w:numPr>
              <w:autoSpaceDE w:val="0"/>
              <w:autoSpaceDN w:val="0"/>
              <w:adjustRightInd w:val="0"/>
              <w:spacing w:line="240" w:lineRule="auto"/>
              <w:ind w:firstLineChars="0"/>
              <w:jc w:val="left"/>
              <w:rPr>
                <w:rFonts w:ascii="Times New Roman" w:hAnsi="Times New Roman" w:eastAsia="宋体" w:cs="Times New Roman"/>
              </w:rPr>
            </w:pPr>
            <w:r>
              <w:rPr>
                <w:rFonts w:ascii="Times New Roman" w:hAnsi="Times New Roman" w:eastAsia="宋体" w:cs="Times New Roman"/>
              </w:rPr>
              <w:t>以VR的方式展示整个环境内容，模拟养老机构场景。以第一视角在场景中漫游，沉浸式观察环境，学习适老化相关知识，并进行设置合理性判断和改造。系统分为学习模式和考核练习模式，学练结合增加学生对养老机构适老化设置的认知。</w:t>
            </w:r>
          </w:p>
          <w:p w14:paraId="7C18A685">
            <w:pPr>
              <w:pStyle w:val="37"/>
              <w:numPr>
                <w:ilvl w:val="0"/>
                <w:numId w:val="1"/>
              </w:numPr>
              <w:autoSpaceDE w:val="0"/>
              <w:autoSpaceDN w:val="0"/>
              <w:adjustRightInd w:val="0"/>
              <w:spacing w:line="240" w:lineRule="auto"/>
              <w:ind w:firstLineChars="0"/>
              <w:jc w:val="left"/>
              <w:rPr>
                <w:rFonts w:ascii="Times New Roman" w:hAnsi="Times New Roman" w:eastAsia="宋体" w:cs="Times New Roman"/>
              </w:rPr>
            </w:pPr>
            <w:r>
              <w:rPr>
                <w:rFonts w:ascii="Times New Roman" w:hAnsi="Times New Roman" w:eastAsia="宋体" w:cs="Times New Roman"/>
              </w:rPr>
              <w:t>以3D技术搭建的养老机构的场景包括了养老机构户外区域、接待厅、评估室、餐厅、起居室、走廊、洗浴区域，活动区域等，各区域中包含适老化设置要求和介绍，融入场景的学习内容不少于20个，可供交互使用的模型、用物数量不少于20个。</w:t>
            </w:r>
          </w:p>
          <w:p w14:paraId="4B1EAE8C">
            <w:pPr>
              <w:pStyle w:val="37"/>
              <w:numPr>
                <w:ilvl w:val="0"/>
                <w:numId w:val="1"/>
              </w:numPr>
              <w:autoSpaceDE w:val="0"/>
              <w:autoSpaceDN w:val="0"/>
              <w:adjustRightInd w:val="0"/>
              <w:spacing w:line="240" w:lineRule="auto"/>
              <w:ind w:firstLineChars="0"/>
              <w:jc w:val="left"/>
              <w:rPr>
                <w:rFonts w:ascii="Times New Roman" w:hAnsi="Times New Roman" w:eastAsia="宋体" w:cs="Times New Roman"/>
              </w:rPr>
            </w:pPr>
            <w:r>
              <w:rPr>
                <w:rFonts w:ascii="Times New Roman" w:hAnsi="Times New Roman" w:eastAsia="宋体" w:cs="Times New Roman"/>
              </w:rPr>
              <w:t>学习模式下，以第一视角在场景中漫游，学习环境设置的相关知识点，完成场景中的知识点考查，系统将实时反馈考查结果。其中包含的知识点考查不少于20个。</w:t>
            </w:r>
          </w:p>
          <w:p w14:paraId="612CBD84">
            <w:pPr>
              <w:pStyle w:val="37"/>
              <w:numPr>
                <w:ilvl w:val="0"/>
                <w:numId w:val="1"/>
              </w:numPr>
              <w:autoSpaceDE w:val="0"/>
              <w:autoSpaceDN w:val="0"/>
              <w:adjustRightInd w:val="0"/>
              <w:spacing w:line="240" w:lineRule="auto"/>
              <w:ind w:firstLineChars="0"/>
              <w:jc w:val="left"/>
              <w:rPr>
                <w:rFonts w:ascii="Times New Roman" w:hAnsi="Times New Roman" w:eastAsia="宋体" w:cs="Times New Roman"/>
                <w:b w:val="0"/>
                <w:bCs w:val="0"/>
              </w:rPr>
            </w:pPr>
            <w:r>
              <w:rPr>
                <w:rFonts w:ascii="Times New Roman" w:hAnsi="Times New Roman" w:eastAsia="宋体" w:cs="Times New Roman"/>
              </w:rPr>
              <w:t>用户在虚拟场景中漫游，观察发现户外区域、餐厅、起居室、卫生间区域存在的不合理设置，并进行改造。练习模式下，用户可在系统语音提示和进度提示下完成。考核模式下，学生需在无提示的情况下自主完寻找不合理设置并进行改造。答题结束后，系统实时反馈成绩，并给出考试详情，帮助用户查缺补漏。</w:t>
            </w:r>
            <w:r>
              <w:rPr>
                <w:rFonts w:hint="eastAsia" w:ascii="Times New Roman" w:hAnsi="Times New Roman" w:eastAsia="宋体" w:cs="Times New Roman"/>
                <w:b w:val="0"/>
                <w:bCs w:val="0"/>
              </w:rPr>
              <w:t>（须针对此条内容的软件界面进行截图佐证）</w:t>
            </w:r>
          </w:p>
          <w:p w14:paraId="5757BA53">
            <w:pPr>
              <w:pStyle w:val="37"/>
              <w:numPr>
                <w:ilvl w:val="0"/>
                <w:numId w:val="1"/>
              </w:numPr>
              <w:autoSpaceDE w:val="0"/>
              <w:autoSpaceDN w:val="0"/>
              <w:adjustRightInd w:val="0"/>
              <w:spacing w:line="240" w:lineRule="auto"/>
              <w:ind w:firstLineChars="0"/>
              <w:jc w:val="left"/>
              <w:rPr>
                <w:rFonts w:ascii="Times New Roman" w:hAnsi="Times New Roman" w:eastAsia="宋体" w:cs="Times New Roman"/>
              </w:rPr>
            </w:pPr>
            <w:r>
              <w:rPr>
                <w:rFonts w:ascii="Times New Roman" w:hAnsi="Times New Roman" w:eastAsia="宋体" w:cs="Times New Roman"/>
              </w:rPr>
              <w:t>可通过场景选择按钮进行位置快速切换，通过任务提示按钮了解完成进度。系统可提供拖拽、点击的方式与场景实现更换、移动、测量和删除等交互，场景交互点如下：</w:t>
            </w:r>
          </w:p>
          <w:p w14:paraId="0B58450F">
            <w:pPr>
              <w:pStyle w:val="37"/>
              <w:numPr>
                <w:ilvl w:val="0"/>
                <w:numId w:val="2"/>
              </w:numPr>
              <w:autoSpaceDE w:val="0"/>
              <w:autoSpaceDN w:val="0"/>
              <w:adjustRightInd w:val="0"/>
              <w:spacing w:line="240" w:lineRule="auto"/>
              <w:ind w:firstLineChars="0"/>
              <w:jc w:val="left"/>
              <w:rPr>
                <w:rFonts w:ascii="Times New Roman" w:hAnsi="Times New Roman" w:eastAsia="宋体" w:cs="Times New Roman"/>
              </w:rPr>
            </w:pPr>
            <w:r>
              <w:rPr>
                <w:rFonts w:ascii="Times New Roman" w:hAnsi="Times New Roman" w:eastAsia="宋体" w:cs="Times New Roman"/>
              </w:rPr>
              <w:t>活动区域中包括过道、餐厅、公共活动区域的设施设置交互点不少于5个。</w:t>
            </w:r>
          </w:p>
          <w:p w14:paraId="06205E0E">
            <w:pPr>
              <w:pStyle w:val="37"/>
              <w:numPr>
                <w:ilvl w:val="0"/>
                <w:numId w:val="2"/>
              </w:numPr>
              <w:autoSpaceDE w:val="0"/>
              <w:autoSpaceDN w:val="0"/>
              <w:adjustRightInd w:val="0"/>
              <w:spacing w:line="240" w:lineRule="auto"/>
              <w:ind w:firstLineChars="0"/>
              <w:jc w:val="left"/>
              <w:rPr>
                <w:rFonts w:ascii="Times New Roman" w:hAnsi="Times New Roman" w:eastAsia="宋体" w:cs="Times New Roman"/>
              </w:rPr>
            </w:pPr>
            <w:r>
              <w:rPr>
                <w:rFonts w:ascii="Times New Roman" w:hAnsi="Times New Roman" w:eastAsia="宋体" w:cs="Times New Roman"/>
              </w:rPr>
              <w:t>洗浴区域可对卫生间门、毛巾架、座便器、淋浴空间、洗浴扶手、开关等设施设置的评估，涉及交互点不少于5个。</w:t>
            </w:r>
          </w:p>
          <w:p w14:paraId="1767EC1A">
            <w:pPr>
              <w:pStyle w:val="37"/>
              <w:numPr>
                <w:ilvl w:val="0"/>
                <w:numId w:val="2"/>
              </w:numPr>
              <w:autoSpaceDE w:val="0"/>
              <w:autoSpaceDN w:val="0"/>
              <w:adjustRightInd w:val="0"/>
              <w:spacing w:line="240" w:lineRule="auto"/>
              <w:ind w:firstLineChars="0"/>
              <w:jc w:val="left"/>
              <w:rPr>
                <w:rFonts w:ascii="Times New Roman" w:hAnsi="Times New Roman" w:eastAsia="宋体" w:cs="Times New Roman"/>
              </w:rPr>
            </w:pPr>
            <w:r>
              <w:rPr>
                <w:rFonts w:ascii="Times New Roman" w:hAnsi="Times New Roman" w:eastAsia="宋体" w:cs="Times New Roman"/>
              </w:rPr>
              <w:t>起居室场景中可对家具陈设，床位摆放，窗户窗帘等物件布置的交互点不少于5个。</w:t>
            </w:r>
          </w:p>
          <w:p w14:paraId="458802F7">
            <w:pPr>
              <w:pStyle w:val="37"/>
              <w:numPr>
                <w:ilvl w:val="0"/>
                <w:numId w:val="2"/>
              </w:numPr>
              <w:autoSpaceDE w:val="0"/>
              <w:autoSpaceDN w:val="0"/>
              <w:adjustRightInd w:val="0"/>
              <w:spacing w:line="240" w:lineRule="auto"/>
              <w:ind w:firstLineChars="0"/>
              <w:jc w:val="left"/>
              <w:rPr>
                <w:rFonts w:ascii="Times New Roman" w:hAnsi="Times New Roman" w:eastAsia="宋体" w:cs="Times New Roman"/>
              </w:rPr>
            </w:pPr>
            <w:r>
              <w:rPr>
                <w:rFonts w:ascii="Times New Roman" w:hAnsi="Times New Roman" w:eastAsia="宋体" w:cs="Times New Roman"/>
              </w:rPr>
              <w:t>餐厅、走廊等场景中可对桌椅进行交互，交互点不少于3个。</w:t>
            </w:r>
          </w:p>
          <w:p w14:paraId="733F0BC3">
            <w:pPr>
              <w:pStyle w:val="37"/>
              <w:numPr>
                <w:ilvl w:val="0"/>
                <w:numId w:val="1"/>
              </w:numPr>
              <w:autoSpaceDE w:val="0"/>
              <w:autoSpaceDN w:val="0"/>
              <w:adjustRightInd w:val="0"/>
              <w:spacing w:line="240" w:lineRule="auto"/>
              <w:ind w:firstLineChars="0"/>
              <w:jc w:val="left"/>
              <w:rPr>
                <w:rFonts w:ascii="Times New Roman" w:hAnsi="Times New Roman" w:eastAsia="宋体" w:cs="Times New Roman"/>
              </w:rPr>
            </w:pPr>
            <w:r>
              <w:rPr>
                <w:rFonts w:ascii="Times New Roman" w:hAnsi="Times New Roman" w:eastAsia="宋体" w:cs="Times New Roman"/>
              </w:rPr>
              <w:t>对学习过程进行全面数据采集，形成教学的过程评价，可提供学生练习次数，练习时长，考核结果等数据呈现。</w:t>
            </w:r>
          </w:p>
          <w:p w14:paraId="7B4E424C">
            <w:pPr>
              <w:pStyle w:val="37"/>
              <w:numPr>
                <w:ilvl w:val="0"/>
                <w:numId w:val="1"/>
              </w:numPr>
              <w:autoSpaceDE w:val="0"/>
              <w:autoSpaceDN w:val="0"/>
              <w:adjustRightInd w:val="0"/>
              <w:spacing w:line="240" w:lineRule="auto"/>
              <w:ind w:firstLineChars="0"/>
              <w:jc w:val="left"/>
              <w:rPr>
                <w:rFonts w:ascii="Times New Roman" w:hAnsi="Times New Roman" w:eastAsia="宋体" w:cs="Times New Roman"/>
              </w:rPr>
            </w:pPr>
            <w:r>
              <w:rPr>
                <w:rFonts w:ascii="Times New Roman" w:hAnsi="Times New Roman" w:eastAsia="宋体" w:cs="Times New Roman"/>
              </w:rPr>
              <w:t>适配XR头显设备。</w:t>
            </w:r>
          </w:p>
          <w:p w14:paraId="41A0E2B8">
            <w:pPr>
              <w:pStyle w:val="37"/>
              <w:numPr>
                <w:ilvl w:val="0"/>
                <w:numId w:val="1"/>
              </w:numPr>
              <w:autoSpaceDE w:val="0"/>
              <w:autoSpaceDN w:val="0"/>
              <w:adjustRightInd w:val="0"/>
              <w:spacing w:line="240" w:lineRule="auto"/>
              <w:ind w:firstLineChars="0"/>
              <w:jc w:val="left"/>
              <w:rPr>
                <w:rFonts w:ascii="Times New Roman" w:hAnsi="Times New Roman" w:eastAsia="宋体" w:cs="Times New Roman"/>
              </w:rPr>
            </w:pPr>
            <w:r>
              <w:rPr>
                <w:rFonts w:ascii="Times New Roman" w:hAnsi="Times New Roman" w:eastAsia="宋体" w:cs="Times New Roman"/>
              </w:rPr>
              <w:t>不限制校内安装使用的数量。</w:t>
            </w:r>
          </w:p>
        </w:tc>
      </w:tr>
      <w:tr w14:paraId="0531B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8"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6759DE9A">
            <w:pPr>
              <w:spacing w:line="240" w:lineRule="auto"/>
              <w:jc w:val="center"/>
              <w:rPr>
                <w:rFonts w:ascii="Times New Roman" w:hAnsi="Times New Roman" w:eastAsia="宋体" w:cs="Times New Roman"/>
                <w:szCs w:val="21"/>
              </w:rPr>
            </w:pPr>
            <w:r>
              <w:rPr>
                <w:rFonts w:ascii="Times New Roman" w:hAnsi="Times New Roman" w:eastAsia="宋体" w:cs="Times New Roman"/>
                <w:szCs w:val="21"/>
              </w:rPr>
              <w:t>2</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7DBDB4C0">
            <w:pPr>
              <w:autoSpaceDE w:val="0"/>
              <w:autoSpaceDN w:val="0"/>
              <w:adjustRightInd w:val="0"/>
              <w:spacing w:line="240" w:lineRule="auto"/>
              <w:jc w:val="center"/>
              <w:rPr>
                <w:rFonts w:ascii="Times New Roman" w:hAnsi="Times New Roman" w:eastAsia="宋体" w:cs="Times New Roman"/>
                <w:color w:val="000000"/>
                <w:kern w:val="0"/>
                <w:szCs w:val="21"/>
                <w:lang w:bidi="ar"/>
              </w:rPr>
            </w:pPr>
            <w:r>
              <w:rPr>
                <w:rFonts w:ascii="Times New Roman" w:hAnsi="Times New Roman" w:eastAsia="宋体" w:cs="Times New Roman"/>
                <w:szCs w:val="21"/>
              </w:rPr>
              <w:t>“老年人能力评估”虚拟仿真实训系统</w:t>
            </w:r>
          </w:p>
        </w:tc>
        <w:tc>
          <w:tcPr>
            <w:tcW w:w="1134" w:type="dxa"/>
            <w:tcBorders>
              <w:top w:val="single" w:color="auto" w:sz="4" w:space="0"/>
              <w:left w:val="single" w:color="auto" w:sz="4" w:space="0"/>
              <w:bottom w:val="single" w:color="auto" w:sz="4" w:space="0"/>
              <w:right w:val="single" w:color="auto" w:sz="4" w:space="0"/>
            </w:tcBorders>
            <w:vAlign w:val="center"/>
          </w:tcPr>
          <w:p w14:paraId="71CC1EC9">
            <w:pPr>
              <w:spacing w:line="240" w:lineRule="auto"/>
              <w:jc w:val="center"/>
              <w:rPr>
                <w:rFonts w:ascii="Times New Roman" w:hAnsi="Times New Roman" w:eastAsia="宋体" w:cs="Times New Roman"/>
                <w:color w:val="000000"/>
                <w:kern w:val="0"/>
                <w:szCs w:val="21"/>
                <w:lang w:bidi="ar"/>
              </w:rPr>
            </w:pPr>
          </w:p>
        </w:tc>
        <w:tc>
          <w:tcPr>
            <w:tcW w:w="709" w:type="dxa"/>
            <w:tcBorders>
              <w:top w:val="single" w:color="auto" w:sz="4" w:space="0"/>
              <w:left w:val="single" w:color="auto" w:sz="4" w:space="0"/>
              <w:bottom w:val="single" w:color="auto" w:sz="4" w:space="0"/>
              <w:right w:val="single" w:color="auto" w:sz="4" w:space="0"/>
            </w:tcBorders>
            <w:vAlign w:val="center"/>
          </w:tcPr>
          <w:p w14:paraId="3EC5FABB">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1套</w:t>
            </w:r>
          </w:p>
        </w:tc>
        <w:tc>
          <w:tcPr>
            <w:tcW w:w="5496" w:type="dxa"/>
            <w:tcBorders>
              <w:top w:val="single" w:color="auto" w:sz="4" w:space="0"/>
              <w:left w:val="single" w:color="auto" w:sz="4" w:space="0"/>
              <w:bottom w:val="single" w:color="auto" w:sz="4" w:space="0"/>
              <w:right w:val="single" w:color="auto" w:sz="4" w:space="0"/>
            </w:tcBorders>
            <w:vAlign w:val="center"/>
          </w:tcPr>
          <w:p w14:paraId="51A5921C">
            <w:pPr>
              <w:pStyle w:val="37"/>
              <w:numPr>
                <w:ilvl w:val="0"/>
                <w:numId w:val="3"/>
              </w:numPr>
              <w:autoSpaceDE w:val="0"/>
              <w:autoSpaceDN w:val="0"/>
              <w:adjustRightInd w:val="0"/>
              <w:spacing w:line="240" w:lineRule="auto"/>
              <w:ind w:firstLineChars="0"/>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系统以VR形式展现老年人能力评估的环境，依据《老年人能力评估规范》国家标准(GB/T42195-2022)对老年人能力评估的环境进行虚拟仿真，包含休息等候区、日常起居评估区、洗漱评估区、饮食评估区、运动功能评估区、认知功能评估区、体征数据评估区、评估报告区。</w:t>
            </w:r>
          </w:p>
          <w:p w14:paraId="7D786221">
            <w:pPr>
              <w:pStyle w:val="37"/>
              <w:numPr>
                <w:ilvl w:val="0"/>
                <w:numId w:val="3"/>
              </w:numPr>
              <w:autoSpaceDE w:val="0"/>
              <w:autoSpaceDN w:val="0"/>
              <w:adjustRightInd w:val="0"/>
              <w:spacing w:line="240" w:lineRule="auto"/>
              <w:ind w:firstLineChars="0"/>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学生以第一视角进入老年人能力评估场景，可在场景中漫游，认识和学习各评估区域的模型设置，评估工具和评估内容，具体如下：</w:t>
            </w:r>
          </w:p>
          <w:p w14:paraId="1E38BCF2">
            <w:pPr>
              <w:pStyle w:val="37"/>
              <w:numPr>
                <w:ilvl w:val="0"/>
                <w:numId w:val="4"/>
              </w:numPr>
              <w:autoSpaceDE w:val="0"/>
              <w:autoSpaceDN w:val="0"/>
              <w:adjustRightInd w:val="0"/>
              <w:spacing w:line="240" w:lineRule="auto"/>
              <w:ind w:firstLineChars="0"/>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休息等候区：设置沙发、茶几、饮水机、绿植等模型，该区域融入接待评估老人的标准程序，老人能力评估的目的、条件等相关知识点不少于5点。</w:t>
            </w:r>
          </w:p>
          <w:p w14:paraId="174074C7">
            <w:pPr>
              <w:pStyle w:val="37"/>
              <w:numPr>
                <w:ilvl w:val="0"/>
                <w:numId w:val="4"/>
              </w:numPr>
              <w:autoSpaceDE w:val="0"/>
              <w:autoSpaceDN w:val="0"/>
              <w:adjustRightInd w:val="0"/>
              <w:spacing w:line="240" w:lineRule="auto"/>
              <w:ind w:firstLineChars="0"/>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日常起居评估区：设置标准起居室场景模型，融入老年人床上移动、穿衣等活动能力评估的相关知识点不少于4点。</w:t>
            </w:r>
          </w:p>
          <w:p w14:paraId="20F5C528">
            <w:pPr>
              <w:pStyle w:val="37"/>
              <w:numPr>
                <w:ilvl w:val="0"/>
                <w:numId w:val="4"/>
              </w:numPr>
              <w:autoSpaceDE w:val="0"/>
              <w:autoSpaceDN w:val="0"/>
              <w:adjustRightInd w:val="0"/>
              <w:spacing w:line="240" w:lineRule="auto"/>
              <w:ind w:firstLineChars="0"/>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洗漱评估区：设置适老化洗漱清洁区域，包括淋浴凳、扶手、增高马桶、呼叫铃、毛巾家、洗脸池等模型，该区域融入老年人的洗澡、修饰及大小便能力等能力评估相关知识点不少于8项。</w:t>
            </w:r>
          </w:p>
          <w:p w14:paraId="2431E430">
            <w:pPr>
              <w:pStyle w:val="37"/>
              <w:numPr>
                <w:ilvl w:val="0"/>
                <w:numId w:val="4"/>
              </w:numPr>
              <w:autoSpaceDE w:val="0"/>
              <w:autoSpaceDN w:val="0"/>
              <w:adjustRightInd w:val="0"/>
              <w:spacing w:line="240" w:lineRule="auto"/>
              <w:ind w:firstLineChars="0"/>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饮食评估区：设置餐座椅、橱柜、洗碗池、记忆成年人勺、助食筷、斜口杯、吸管杯、吸盘碗等模型，融入老年人的进食能力评估的相关知识点不少于5点。</w:t>
            </w:r>
          </w:p>
          <w:p w14:paraId="61B92EBD">
            <w:pPr>
              <w:pStyle w:val="37"/>
              <w:numPr>
                <w:ilvl w:val="0"/>
                <w:numId w:val="4"/>
              </w:numPr>
              <w:autoSpaceDE w:val="0"/>
              <w:autoSpaceDN w:val="0"/>
              <w:adjustRightInd w:val="0"/>
              <w:spacing w:line="240" w:lineRule="auto"/>
              <w:ind w:firstLineChars="0"/>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运动功能评估区：设置步行测量区，扶手、康复梯、助行器、轮椅等模型，融入老年人行走、上下楼梯等基础运动能力评估的相关知识点不少于5点。</w:t>
            </w:r>
          </w:p>
          <w:p w14:paraId="561DE50D">
            <w:pPr>
              <w:pStyle w:val="37"/>
              <w:numPr>
                <w:ilvl w:val="0"/>
                <w:numId w:val="4"/>
              </w:numPr>
              <w:autoSpaceDE w:val="0"/>
              <w:autoSpaceDN w:val="0"/>
              <w:adjustRightInd w:val="0"/>
              <w:spacing w:line="240" w:lineRule="auto"/>
              <w:ind w:firstLineChars="0"/>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认知功能评估区：设置老花镜，放大镜、报纸、书籍、白纸、图片、笔、作业治疗用具等模型，融入老年人感知能力，精神状态评估的相关知识点不少于6点。</w:t>
            </w:r>
          </w:p>
          <w:p w14:paraId="6F961146">
            <w:pPr>
              <w:pStyle w:val="37"/>
              <w:numPr>
                <w:ilvl w:val="0"/>
                <w:numId w:val="4"/>
              </w:numPr>
              <w:autoSpaceDE w:val="0"/>
              <w:autoSpaceDN w:val="0"/>
              <w:adjustRightInd w:val="0"/>
              <w:spacing w:line="240" w:lineRule="auto"/>
              <w:ind w:firstLineChars="0"/>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体征数据评估区：设置生命体征测量设备、体温计，血压计，听诊器、身高体重秤、皮尺、压舌板、棉签，手电筒，握力器、视力表等模型，融入借老年人的心肺、视力、听力、血压、血糖检查和老年人健康信息采集相关的知识点不少10点。</w:t>
            </w:r>
          </w:p>
          <w:p w14:paraId="63A1E9B3">
            <w:pPr>
              <w:pStyle w:val="37"/>
              <w:numPr>
                <w:ilvl w:val="0"/>
                <w:numId w:val="4"/>
              </w:numPr>
              <w:autoSpaceDE w:val="0"/>
              <w:autoSpaceDN w:val="0"/>
              <w:adjustRightInd w:val="0"/>
              <w:spacing w:line="240" w:lineRule="auto"/>
              <w:ind w:firstLineChars="0"/>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评估报告区：设置办公座椅、电脑、文件柜等模型，融入能力评估流程、要求、评估结果和常用的评估量表介绍等相关知识点不少于8点。</w:t>
            </w:r>
          </w:p>
          <w:p w14:paraId="7D391F6B">
            <w:pPr>
              <w:pStyle w:val="37"/>
              <w:numPr>
                <w:ilvl w:val="0"/>
                <w:numId w:val="3"/>
              </w:numPr>
              <w:autoSpaceDE w:val="0"/>
              <w:autoSpaceDN w:val="0"/>
              <w:adjustRightInd w:val="0"/>
              <w:spacing w:line="240" w:lineRule="auto"/>
              <w:ind w:firstLineChars="0"/>
              <w:jc w:val="left"/>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在场景漫游学习相关知识后，进行知识点考核，考核内容支持老师后台组题并设定分值，系统将给出实时反馈，并记录和上传答题结果在后台，便于进行学习评价。</w:t>
            </w:r>
            <w:r>
              <w:rPr>
                <w:rFonts w:hint="eastAsia" w:ascii="Times New Roman" w:hAnsi="Times New Roman" w:eastAsia="宋体" w:cs="Times New Roman"/>
                <w:b w:val="0"/>
                <w:bCs w:val="0"/>
                <w:color w:val="000000"/>
                <w:kern w:val="0"/>
                <w:szCs w:val="21"/>
                <w:lang w:bidi="ar"/>
              </w:rPr>
              <w:t>（须针对此条内容的软件界面进行截图佐证）</w:t>
            </w:r>
          </w:p>
          <w:p w14:paraId="1B5B9FFC">
            <w:pPr>
              <w:pStyle w:val="37"/>
              <w:numPr>
                <w:ilvl w:val="0"/>
                <w:numId w:val="3"/>
              </w:numPr>
              <w:autoSpaceDE w:val="0"/>
              <w:autoSpaceDN w:val="0"/>
              <w:adjustRightInd w:val="0"/>
              <w:spacing w:line="240" w:lineRule="auto"/>
              <w:ind w:firstLineChars="0"/>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适配XR头显设备。</w:t>
            </w:r>
          </w:p>
          <w:p w14:paraId="4C30BF8F">
            <w:pPr>
              <w:pStyle w:val="37"/>
              <w:numPr>
                <w:ilvl w:val="0"/>
                <w:numId w:val="3"/>
              </w:numPr>
              <w:autoSpaceDE w:val="0"/>
              <w:autoSpaceDN w:val="0"/>
              <w:adjustRightInd w:val="0"/>
              <w:spacing w:line="240" w:lineRule="auto"/>
              <w:ind w:firstLineChars="0"/>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不限制校内XR头显设备上安装软件的数量。</w:t>
            </w:r>
          </w:p>
        </w:tc>
      </w:tr>
      <w:tr w14:paraId="02A344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8"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148C394A">
            <w:pPr>
              <w:spacing w:line="240" w:lineRule="auto"/>
              <w:jc w:val="center"/>
              <w:rPr>
                <w:rFonts w:ascii="Times New Roman" w:hAnsi="Times New Roman" w:eastAsia="宋体" w:cs="Times New Roman"/>
                <w:szCs w:val="21"/>
              </w:rPr>
            </w:pPr>
            <w:r>
              <w:rPr>
                <w:rFonts w:ascii="Times New Roman" w:hAnsi="Times New Roman" w:eastAsia="宋体" w:cs="Times New Roman"/>
                <w:szCs w:val="21"/>
              </w:rPr>
              <w:t>3</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627E7D7C">
            <w:pPr>
              <w:autoSpaceDE w:val="0"/>
              <w:autoSpaceDN w:val="0"/>
              <w:adjustRightInd w:val="0"/>
              <w:spacing w:line="240" w:lineRule="auto"/>
              <w:jc w:val="center"/>
              <w:rPr>
                <w:rFonts w:ascii="Times New Roman" w:hAnsi="Times New Roman" w:eastAsia="宋体" w:cs="Times New Roman"/>
                <w:szCs w:val="21"/>
              </w:rPr>
            </w:pPr>
            <w:r>
              <w:rPr>
                <w:rFonts w:ascii="Times New Roman" w:hAnsi="Times New Roman" w:eastAsia="宋体" w:cs="Times New Roman"/>
                <w:szCs w:val="21"/>
              </w:rPr>
              <w:t>XR头显设备</w:t>
            </w:r>
          </w:p>
        </w:tc>
        <w:tc>
          <w:tcPr>
            <w:tcW w:w="1134" w:type="dxa"/>
            <w:tcBorders>
              <w:top w:val="single" w:color="auto" w:sz="4" w:space="0"/>
              <w:left w:val="single" w:color="auto" w:sz="4" w:space="0"/>
              <w:bottom w:val="single" w:color="auto" w:sz="4" w:space="0"/>
              <w:right w:val="single" w:color="auto" w:sz="4" w:space="0"/>
            </w:tcBorders>
            <w:vAlign w:val="center"/>
          </w:tcPr>
          <w:p w14:paraId="29A0E154">
            <w:pPr>
              <w:spacing w:line="240" w:lineRule="auto"/>
              <w:jc w:val="center"/>
              <w:rPr>
                <w:rFonts w:ascii="Times New Roman" w:hAnsi="Times New Roman" w:eastAsia="宋体" w:cs="Times New Roman"/>
              </w:rPr>
            </w:pPr>
          </w:p>
        </w:tc>
        <w:tc>
          <w:tcPr>
            <w:tcW w:w="709" w:type="dxa"/>
            <w:tcBorders>
              <w:top w:val="single" w:color="auto" w:sz="4" w:space="0"/>
              <w:left w:val="single" w:color="auto" w:sz="4" w:space="0"/>
              <w:bottom w:val="single" w:color="auto" w:sz="4" w:space="0"/>
              <w:right w:val="single" w:color="auto" w:sz="4" w:space="0"/>
            </w:tcBorders>
            <w:vAlign w:val="center"/>
          </w:tcPr>
          <w:p w14:paraId="1BF120D8">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4套</w:t>
            </w:r>
          </w:p>
        </w:tc>
        <w:tc>
          <w:tcPr>
            <w:tcW w:w="5496" w:type="dxa"/>
            <w:tcBorders>
              <w:top w:val="single" w:color="auto" w:sz="4" w:space="0"/>
              <w:left w:val="single" w:color="auto" w:sz="4" w:space="0"/>
              <w:bottom w:val="single" w:color="auto" w:sz="4" w:space="0"/>
              <w:right w:val="single" w:color="auto" w:sz="4" w:space="0"/>
            </w:tcBorders>
            <w:vAlign w:val="center"/>
          </w:tcPr>
          <w:p w14:paraId="5EDCF904">
            <w:pPr>
              <w:autoSpaceDE w:val="0"/>
              <w:autoSpaceDN w:val="0"/>
              <w:adjustRightInd w:val="0"/>
              <w:spacing w:line="240" w:lineRule="auto"/>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XR头显，支持AR\VR\MR多种模式：</w:t>
            </w:r>
          </w:p>
          <w:p w14:paraId="230C8B15">
            <w:pPr>
              <w:pStyle w:val="37"/>
              <w:numPr>
                <w:ilvl w:val="0"/>
                <w:numId w:val="5"/>
              </w:numPr>
              <w:autoSpaceDE w:val="0"/>
              <w:autoSpaceDN w:val="0"/>
              <w:adjustRightInd w:val="0"/>
              <w:spacing w:line="240" w:lineRule="auto"/>
              <w:ind w:firstLineChars="0"/>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CPU：高通骁龙XR2处理器，8核64位，主频1.8GHz，最高2.84GHz；</w:t>
            </w:r>
          </w:p>
          <w:p w14:paraId="74A68FAC">
            <w:pPr>
              <w:pStyle w:val="37"/>
              <w:numPr>
                <w:ilvl w:val="0"/>
                <w:numId w:val="5"/>
              </w:numPr>
              <w:autoSpaceDE w:val="0"/>
              <w:autoSpaceDN w:val="0"/>
              <w:adjustRightInd w:val="0"/>
              <w:spacing w:line="240" w:lineRule="auto"/>
              <w:ind w:firstLineChars="0"/>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内存：12G RAM，LPDDR5；</w:t>
            </w:r>
          </w:p>
          <w:p w14:paraId="55FE5290">
            <w:pPr>
              <w:pStyle w:val="37"/>
              <w:numPr>
                <w:ilvl w:val="0"/>
                <w:numId w:val="5"/>
              </w:numPr>
              <w:autoSpaceDE w:val="0"/>
              <w:autoSpaceDN w:val="0"/>
              <w:adjustRightInd w:val="0"/>
              <w:spacing w:line="240" w:lineRule="auto"/>
              <w:ind w:firstLineChars="0"/>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存储：128G Flash高速闪存；</w:t>
            </w:r>
          </w:p>
          <w:p w14:paraId="569741A6">
            <w:pPr>
              <w:pStyle w:val="37"/>
              <w:numPr>
                <w:ilvl w:val="0"/>
                <w:numId w:val="5"/>
              </w:numPr>
              <w:autoSpaceDE w:val="0"/>
              <w:autoSpaceDN w:val="0"/>
              <w:adjustRightInd w:val="0"/>
              <w:spacing w:line="240" w:lineRule="auto"/>
              <w:ind w:firstLineChars="0"/>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LCD双屏，尺寸2*2.21寸，刷新率90Hz，ppi不小于1200ppi；</w:t>
            </w:r>
          </w:p>
          <w:p w14:paraId="027D28D9">
            <w:pPr>
              <w:pStyle w:val="37"/>
              <w:numPr>
                <w:ilvl w:val="0"/>
                <w:numId w:val="5"/>
              </w:numPr>
              <w:autoSpaceDE w:val="0"/>
              <w:autoSpaceDN w:val="0"/>
              <w:adjustRightInd w:val="0"/>
              <w:spacing w:line="240" w:lineRule="auto"/>
              <w:ind w:firstLineChars="0"/>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视场角</w:t>
            </w:r>
            <w:r>
              <w:rPr>
                <w:rFonts w:hint="eastAsia" w:ascii="Times New Roman" w:hAnsi="Times New Roman" w:eastAsia="宋体" w:cs="Times New Roman"/>
                <w:color w:val="000000"/>
                <w:kern w:val="0"/>
                <w:szCs w:val="21"/>
                <w:lang w:bidi="ar"/>
              </w:rPr>
              <w:t>≥</w:t>
            </w:r>
            <w:r>
              <w:rPr>
                <w:rFonts w:ascii="Times New Roman" w:hAnsi="Times New Roman" w:eastAsia="宋体" w:cs="Times New Roman"/>
                <w:color w:val="000000"/>
                <w:kern w:val="0"/>
                <w:szCs w:val="21"/>
                <w:lang w:bidi="ar"/>
              </w:rPr>
              <w:t>110°；</w:t>
            </w:r>
          </w:p>
          <w:p w14:paraId="57CE9157">
            <w:pPr>
              <w:pStyle w:val="37"/>
              <w:numPr>
                <w:ilvl w:val="0"/>
                <w:numId w:val="5"/>
              </w:numPr>
              <w:autoSpaceDE w:val="0"/>
              <w:autoSpaceDN w:val="0"/>
              <w:adjustRightInd w:val="0"/>
              <w:spacing w:line="240" w:lineRule="auto"/>
              <w:ind w:firstLineChars="0"/>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双眼分辨率3840 x 1920；</w:t>
            </w:r>
          </w:p>
          <w:p w14:paraId="1AD53AF0">
            <w:pPr>
              <w:pStyle w:val="37"/>
              <w:numPr>
                <w:ilvl w:val="0"/>
                <w:numId w:val="5"/>
              </w:numPr>
              <w:autoSpaceDE w:val="0"/>
              <w:autoSpaceDN w:val="0"/>
              <w:adjustRightInd w:val="0"/>
              <w:spacing w:line="240" w:lineRule="auto"/>
              <w:ind w:firstLineChars="0"/>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1600万像素彩色高清摄像头</w:t>
            </w:r>
            <w:r>
              <w:rPr>
                <w:rFonts w:hint="eastAsia" w:ascii="Times New Roman" w:hAnsi="Times New Roman" w:eastAsia="宋体" w:cs="Times New Roman"/>
                <w:color w:val="000000"/>
                <w:kern w:val="0"/>
                <w:szCs w:val="21"/>
                <w:lang w:bidi="ar"/>
              </w:rPr>
              <w:t>≥</w:t>
            </w:r>
            <w:r>
              <w:rPr>
                <w:rFonts w:ascii="Times New Roman" w:hAnsi="Times New Roman" w:eastAsia="宋体" w:cs="Times New Roman"/>
                <w:color w:val="000000"/>
                <w:kern w:val="0"/>
                <w:szCs w:val="21"/>
                <w:lang w:bidi="ar"/>
              </w:rPr>
              <w:t>1个，深度传感器</w:t>
            </w:r>
            <w:r>
              <w:rPr>
                <w:rFonts w:hint="eastAsia" w:ascii="Times New Roman" w:hAnsi="Times New Roman" w:eastAsia="宋体" w:cs="Times New Roman"/>
                <w:color w:val="000000"/>
                <w:kern w:val="0"/>
                <w:szCs w:val="21"/>
                <w:lang w:bidi="ar"/>
              </w:rPr>
              <w:t>≥</w:t>
            </w:r>
            <w:r>
              <w:rPr>
                <w:rFonts w:ascii="Times New Roman" w:hAnsi="Times New Roman" w:eastAsia="宋体" w:cs="Times New Roman"/>
                <w:color w:val="000000"/>
                <w:kern w:val="0"/>
                <w:szCs w:val="21"/>
                <w:lang w:bidi="ar"/>
              </w:rPr>
              <w:t>1个；</w:t>
            </w:r>
          </w:p>
          <w:p w14:paraId="09CA474F">
            <w:pPr>
              <w:pStyle w:val="37"/>
              <w:numPr>
                <w:ilvl w:val="0"/>
                <w:numId w:val="5"/>
              </w:numPr>
              <w:autoSpaceDE w:val="0"/>
              <w:autoSpaceDN w:val="0"/>
              <w:adjustRightInd w:val="0"/>
              <w:spacing w:line="240" w:lineRule="auto"/>
              <w:ind w:firstLineChars="0"/>
              <w:jc w:val="left"/>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黑白追踪摄像头4个；</w:t>
            </w:r>
          </w:p>
          <w:p w14:paraId="03700F7D">
            <w:pPr>
              <w:pStyle w:val="37"/>
              <w:numPr>
                <w:ilvl w:val="0"/>
                <w:numId w:val="5"/>
              </w:numPr>
              <w:autoSpaceDE w:val="0"/>
              <w:autoSpaceDN w:val="0"/>
              <w:adjustRightInd w:val="0"/>
              <w:spacing w:line="240" w:lineRule="auto"/>
              <w:ind w:firstLineChars="0"/>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支持头戴式设备实时双环形手柄跟踪交互，跟踪距离≥1m，角度≤0.1度；</w:t>
            </w:r>
          </w:p>
          <w:p w14:paraId="6CA5FCAD">
            <w:pPr>
              <w:pStyle w:val="37"/>
              <w:numPr>
                <w:ilvl w:val="0"/>
                <w:numId w:val="5"/>
              </w:numPr>
              <w:autoSpaceDE w:val="0"/>
              <w:autoSpaceDN w:val="0"/>
              <w:adjustRightInd w:val="0"/>
              <w:spacing w:line="240" w:lineRule="auto"/>
              <w:ind w:firstLineChars="0"/>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支持手势识别功能；</w:t>
            </w:r>
          </w:p>
          <w:p w14:paraId="0C85C355">
            <w:pPr>
              <w:pStyle w:val="37"/>
              <w:numPr>
                <w:ilvl w:val="0"/>
                <w:numId w:val="5"/>
              </w:numPr>
              <w:autoSpaceDE w:val="0"/>
              <w:autoSpaceDN w:val="0"/>
              <w:adjustRightInd w:val="0"/>
              <w:spacing w:line="240" w:lineRule="auto"/>
              <w:ind w:firstLineChars="0"/>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手柄：6DoF体感手柄×2，一体式电池，充满电后续航15小时。</w:t>
            </w:r>
          </w:p>
        </w:tc>
      </w:tr>
      <w:tr w14:paraId="2D0F26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5EA56B37">
            <w:pPr>
              <w:spacing w:line="240" w:lineRule="auto"/>
              <w:jc w:val="center"/>
              <w:rPr>
                <w:rFonts w:ascii="Times New Roman" w:hAnsi="Times New Roman" w:eastAsia="宋体" w:cs="Times New Roman"/>
                <w:szCs w:val="21"/>
              </w:rPr>
            </w:pPr>
            <w:r>
              <w:rPr>
                <w:rFonts w:ascii="Times New Roman" w:hAnsi="Times New Roman" w:eastAsia="宋体" w:cs="Times New Roman"/>
                <w:szCs w:val="21"/>
              </w:rPr>
              <w:t>4</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0B0F09C8">
            <w:pPr>
              <w:autoSpaceDE w:val="0"/>
              <w:autoSpaceDN w:val="0"/>
              <w:adjustRightInd w:val="0"/>
              <w:spacing w:line="240" w:lineRule="auto"/>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图形工作站</w:t>
            </w:r>
          </w:p>
        </w:tc>
        <w:tc>
          <w:tcPr>
            <w:tcW w:w="1134" w:type="dxa"/>
            <w:tcBorders>
              <w:top w:val="single" w:color="auto" w:sz="4" w:space="0"/>
              <w:left w:val="single" w:color="auto" w:sz="4" w:space="0"/>
              <w:bottom w:val="single" w:color="auto" w:sz="4" w:space="0"/>
              <w:right w:val="single" w:color="auto" w:sz="4" w:space="0"/>
            </w:tcBorders>
            <w:vAlign w:val="center"/>
          </w:tcPr>
          <w:p w14:paraId="5AF6E73D">
            <w:pPr>
              <w:spacing w:line="240" w:lineRule="auto"/>
              <w:jc w:val="center"/>
              <w:rPr>
                <w:rFonts w:ascii="Times New Roman" w:hAnsi="Times New Roman" w:eastAsia="宋体" w:cs="Times New Roman"/>
                <w:color w:val="000000"/>
                <w:kern w:val="0"/>
                <w:szCs w:val="21"/>
                <w:lang w:bidi="ar"/>
              </w:rPr>
            </w:pPr>
          </w:p>
        </w:tc>
        <w:tc>
          <w:tcPr>
            <w:tcW w:w="709" w:type="dxa"/>
            <w:tcBorders>
              <w:top w:val="single" w:color="auto" w:sz="4" w:space="0"/>
              <w:left w:val="single" w:color="auto" w:sz="4" w:space="0"/>
              <w:bottom w:val="single" w:color="auto" w:sz="4" w:space="0"/>
              <w:right w:val="single" w:color="auto" w:sz="4" w:space="0"/>
            </w:tcBorders>
            <w:vAlign w:val="center"/>
          </w:tcPr>
          <w:p w14:paraId="4D120818">
            <w:pPr>
              <w:spacing w:line="240" w:lineRule="auto"/>
              <w:jc w:val="center"/>
              <w:rPr>
                <w:rFonts w:ascii="Times New Roman" w:hAnsi="Times New Roman" w:eastAsia="宋体" w:cs="Times New Roman"/>
                <w:kern w:val="0"/>
                <w:szCs w:val="21"/>
              </w:rPr>
            </w:pPr>
            <w:r>
              <w:rPr>
                <w:rFonts w:ascii="Times New Roman" w:hAnsi="Times New Roman" w:eastAsia="宋体" w:cs="Times New Roman"/>
                <w:kern w:val="0"/>
                <w:szCs w:val="21"/>
              </w:rPr>
              <w:t>4套</w:t>
            </w:r>
          </w:p>
        </w:tc>
        <w:tc>
          <w:tcPr>
            <w:tcW w:w="5496" w:type="dxa"/>
            <w:tcBorders>
              <w:top w:val="single" w:color="auto" w:sz="4" w:space="0"/>
              <w:left w:val="single" w:color="auto" w:sz="4" w:space="0"/>
              <w:bottom w:val="single" w:color="auto" w:sz="4" w:space="0"/>
              <w:right w:val="single" w:color="auto" w:sz="4" w:space="0"/>
            </w:tcBorders>
            <w:vAlign w:val="center"/>
          </w:tcPr>
          <w:p w14:paraId="22BCD8BD">
            <w:pPr>
              <w:autoSpaceDE w:val="0"/>
              <w:autoSpaceDN w:val="0"/>
              <w:adjustRightInd w:val="0"/>
              <w:spacing w:line="240" w:lineRule="auto"/>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XR头显配套图形工作站，保障头显设备内运行实训软件项目流畅</w:t>
            </w:r>
          </w:p>
          <w:p w14:paraId="41D3893A">
            <w:pPr>
              <w:autoSpaceDE w:val="0"/>
              <w:autoSpaceDN w:val="0"/>
              <w:adjustRightInd w:val="0"/>
              <w:spacing w:line="240" w:lineRule="auto"/>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w:t>
            </w:r>
            <w:r>
              <w:rPr>
                <w:rFonts w:ascii="Times New Roman" w:hAnsi="Times New Roman" w:eastAsia="宋体" w:cs="Times New Roman"/>
                <w:color w:val="000000"/>
                <w:kern w:val="0"/>
                <w:szCs w:val="21"/>
                <w:lang w:bidi="ar"/>
              </w:rPr>
              <w:tab/>
            </w:r>
            <w:r>
              <w:rPr>
                <w:rFonts w:ascii="Times New Roman" w:hAnsi="Times New Roman" w:eastAsia="宋体" w:cs="Times New Roman"/>
                <w:color w:val="000000"/>
                <w:kern w:val="0"/>
                <w:szCs w:val="21"/>
                <w:lang w:bidi="ar"/>
              </w:rPr>
              <w:t>GPU：不低于RTX 4060Ti，8G显存；</w:t>
            </w:r>
          </w:p>
          <w:p w14:paraId="6B44433E">
            <w:pPr>
              <w:autoSpaceDE w:val="0"/>
              <w:autoSpaceDN w:val="0"/>
              <w:adjustRightInd w:val="0"/>
              <w:spacing w:line="240" w:lineRule="auto"/>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2.</w:t>
            </w:r>
            <w:r>
              <w:rPr>
                <w:rFonts w:ascii="Times New Roman" w:hAnsi="Times New Roman" w:eastAsia="宋体" w:cs="Times New Roman"/>
                <w:color w:val="000000"/>
                <w:kern w:val="0"/>
                <w:szCs w:val="21"/>
                <w:lang w:bidi="ar"/>
              </w:rPr>
              <w:tab/>
            </w:r>
            <w:r>
              <w:rPr>
                <w:rFonts w:ascii="Times New Roman" w:hAnsi="Times New Roman" w:eastAsia="宋体" w:cs="Times New Roman"/>
                <w:color w:val="000000"/>
                <w:kern w:val="0"/>
                <w:szCs w:val="21"/>
                <w:lang w:bidi="ar"/>
              </w:rPr>
              <w:t>CPU：最新14代酷睿处理器；</w:t>
            </w:r>
          </w:p>
          <w:p w14:paraId="34D4A52C">
            <w:pPr>
              <w:autoSpaceDE w:val="0"/>
              <w:autoSpaceDN w:val="0"/>
              <w:adjustRightInd w:val="0"/>
              <w:spacing w:line="240" w:lineRule="auto"/>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3.</w:t>
            </w:r>
            <w:r>
              <w:rPr>
                <w:rFonts w:ascii="Times New Roman" w:hAnsi="Times New Roman" w:eastAsia="宋体" w:cs="Times New Roman"/>
                <w:color w:val="000000"/>
                <w:kern w:val="0"/>
                <w:szCs w:val="21"/>
                <w:lang w:bidi="ar"/>
              </w:rPr>
              <w:tab/>
            </w:r>
            <w:r>
              <w:rPr>
                <w:rFonts w:ascii="Times New Roman" w:hAnsi="Times New Roman" w:eastAsia="宋体" w:cs="Times New Roman"/>
                <w:color w:val="000000"/>
                <w:kern w:val="0"/>
                <w:szCs w:val="21"/>
                <w:lang w:bidi="ar"/>
              </w:rPr>
              <w:t>内存：32G DDR5；</w:t>
            </w:r>
          </w:p>
          <w:p w14:paraId="47CD6100">
            <w:pPr>
              <w:autoSpaceDE w:val="0"/>
              <w:autoSpaceDN w:val="0"/>
              <w:adjustRightInd w:val="0"/>
              <w:spacing w:line="240" w:lineRule="auto"/>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4.</w:t>
            </w:r>
            <w:r>
              <w:rPr>
                <w:rFonts w:ascii="Times New Roman" w:hAnsi="Times New Roman" w:eastAsia="宋体" w:cs="Times New Roman"/>
                <w:color w:val="000000"/>
                <w:kern w:val="0"/>
                <w:szCs w:val="21"/>
                <w:lang w:bidi="ar"/>
              </w:rPr>
              <w:tab/>
            </w:r>
            <w:r>
              <w:rPr>
                <w:rFonts w:ascii="Times New Roman" w:hAnsi="Times New Roman" w:eastAsia="宋体" w:cs="Times New Roman"/>
                <w:color w:val="000000"/>
                <w:kern w:val="0"/>
                <w:szCs w:val="21"/>
                <w:lang w:bidi="ar"/>
              </w:rPr>
              <w:t>显示器≥27寸，IPS屏，配落地移动支架；</w:t>
            </w:r>
          </w:p>
        </w:tc>
      </w:tr>
      <w:tr w14:paraId="1F6FA9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14:paraId="3944CCC0">
            <w:pPr>
              <w:tabs>
                <w:tab w:val="left" w:pos="1820"/>
              </w:tabs>
              <w:spacing w:line="240" w:lineRule="auto"/>
              <w:rPr>
                <w:rFonts w:ascii="Times New Roman" w:hAnsi="Times New Roman" w:eastAsia="宋体" w:cs="Times New Roman"/>
                <w:b/>
                <w:bCs/>
                <w:kern w:val="0"/>
                <w:szCs w:val="21"/>
              </w:rPr>
            </w:pPr>
            <w:r>
              <w:rPr>
                <w:rFonts w:ascii="Times New Roman" w:hAnsi="Times New Roman" w:eastAsia="宋体" w:cs="Times New Roman"/>
                <w:b/>
                <w:bCs/>
                <w:kern w:val="0"/>
                <w:szCs w:val="21"/>
              </w:rPr>
              <w:t>二、商务需求</w:t>
            </w:r>
          </w:p>
        </w:tc>
      </w:tr>
      <w:tr w14:paraId="027ED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6"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14:paraId="19D3202E">
            <w:pPr>
              <w:autoSpaceDE w:val="0"/>
              <w:autoSpaceDN w:val="0"/>
              <w:adjustRightInd w:val="0"/>
              <w:spacing w:line="240" w:lineRule="auto"/>
              <w:jc w:val="left"/>
              <w:rPr>
                <w:rFonts w:ascii="Times New Roman" w:hAnsi="Times New Roman" w:eastAsia="宋体" w:cs="Times New Roman"/>
                <w:kern w:val="0"/>
                <w:szCs w:val="21"/>
              </w:rPr>
            </w:pPr>
            <w:r>
              <w:rPr>
                <w:rFonts w:ascii="Times New Roman" w:hAnsi="Times New Roman" w:eastAsia="宋体" w:cs="Times New Roman"/>
                <w:szCs w:val="21"/>
              </w:rPr>
              <w:t>交货期限及地点</w:t>
            </w:r>
          </w:p>
        </w:tc>
        <w:tc>
          <w:tcPr>
            <w:tcW w:w="7396" w:type="dxa"/>
            <w:gridSpan w:val="4"/>
            <w:tcBorders>
              <w:top w:val="single" w:color="auto" w:sz="4" w:space="0"/>
              <w:left w:val="single" w:color="auto" w:sz="4" w:space="0"/>
              <w:bottom w:val="single" w:color="auto" w:sz="4" w:space="0"/>
              <w:right w:val="single" w:color="auto" w:sz="4" w:space="0"/>
            </w:tcBorders>
            <w:vAlign w:val="center"/>
          </w:tcPr>
          <w:p w14:paraId="213762BB">
            <w:pPr>
              <w:pStyle w:val="37"/>
              <w:numPr>
                <w:ilvl w:val="0"/>
                <w:numId w:val="6"/>
              </w:numPr>
              <w:autoSpaceDE w:val="0"/>
              <w:autoSpaceDN w:val="0"/>
              <w:adjustRightInd w:val="0"/>
              <w:spacing w:line="240" w:lineRule="auto"/>
              <w:ind w:firstLineChars="0"/>
              <w:jc w:val="left"/>
              <w:rPr>
                <w:rFonts w:ascii="Times New Roman" w:hAnsi="Times New Roman" w:eastAsia="宋体" w:cs="Times New Roman"/>
                <w:kern w:val="0"/>
                <w:szCs w:val="21"/>
              </w:rPr>
            </w:pPr>
            <w:r>
              <w:rPr>
                <w:rFonts w:ascii="Times New Roman" w:hAnsi="Times New Roman" w:eastAsia="宋体" w:cs="Times New Roman"/>
                <w:kern w:val="0"/>
                <w:szCs w:val="21"/>
              </w:rPr>
              <w:t>交货期限 ：合同签订之日起</w:t>
            </w:r>
            <w:r>
              <w:rPr>
                <w:rFonts w:hint="eastAsia" w:ascii="Times New Roman" w:hAnsi="Times New Roman" w:eastAsia="宋体" w:cs="Times New Roman"/>
                <w:kern w:val="0"/>
                <w:szCs w:val="21"/>
              </w:rPr>
              <w:t>15</w:t>
            </w:r>
            <w:r>
              <w:rPr>
                <w:rFonts w:ascii="Times New Roman" w:hAnsi="Times New Roman" w:eastAsia="宋体" w:cs="Times New Roman"/>
                <w:kern w:val="0"/>
                <w:szCs w:val="21"/>
              </w:rPr>
              <w:t>个</w:t>
            </w:r>
            <w:r>
              <w:rPr>
                <w:rFonts w:hint="eastAsia" w:ascii="Times New Roman" w:hAnsi="Times New Roman" w:eastAsia="宋体" w:cs="Times New Roman"/>
                <w:kern w:val="0"/>
                <w:szCs w:val="21"/>
              </w:rPr>
              <w:t>自然</w:t>
            </w:r>
            <w:r>
              <w:rPr>
                <w:rFonts w:ascii="Times New Roman" w:hAnsi="Times New Roman" w:eastAsia="宋体" w:cs="Times New Roman"/>
                <w:kern w:val="0"/>
                <w:szCs w:val="21"/>
              </w:rPr>
              <w:t>日内。</w:t>
            </w:r>
          </w:p>
          <w:p w14:paraId="61B89D7E">
            <w:pPr>
              <w:pStyle w:val="37"/>
              <w:numPr>
                <w:ilvl w:val="0"/>
                <w:numId w:val="6"/>
              </w:numPr>
              <w:autoSpaceDE w:val="0"/>
              <w:autoSpaceDN w:val="0"/>
              <w:adjustRightInd w:val="0"/>
              <w:spacing w:line="240" w:lineRule="auto"/>
              <w:ind w:firstLineChars="0"/>
              <w:jc w:val="left"/>
              <w:rPr>
                <w:rFonts w:ascii="Times New Roman" w:hAnsi="Times New Roman" w:eastAsia="宋体" w:cs="Times New Roman"/>
                <w:kern w:val="0"/>
                <w:szCs w:val="21"/>
              </w:rPr>
            </w:pPr>
            <w:r>
              <w:rPr>
                <w:rFonts w:ascii="Times New Roman" w:hAnsi="Times New Roman" w:eastAsia="宋体" w:cs="Times New Roman"/>
                <w:kern w:val="0"/>
                <w:szCs w:val="21"/>
              </w:rPr>
              <w:t>交货地点：广西中医药大学仙葫校区。</w:t>
            </w:r>
          </w:p>
        </w:tc>
      </w:tr>
      <w:tr w14:paraId="6F87E0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14:paraId="568592F8">
            <w:pPr>
              <w:autoSpaceDE w:val="0"/>
              <w:autoSpaceDN w:val="0"/>
              <w:adjustRightInd w:val="0"/>
              <w:spacing w:line="240" w:lineRule="auto"/>
              <w:jc w:val="left"/>
              <w:rPr>
                <w:rFonts w:ascii="Times New Roman" w:hAnsi="Times New Roman" w:eastAsia="宋体" w:cs="Times New Roman"/>
                <w:kern w:val="0"/>
                <w:szCs w:val="21"/>
              </w:rPr>
            </w:pPr>
            <w:r>
              <w:rPr>
                <w:rFonts w:ascii="Times New Roman" w:hAnsi="Times New Roman" w:eastAsia="宋体" w:cs="Times New Roman"/>
                <w:kern w:val="0"/>
                <w:szCs w:val="21"/>
              </w:rPr>
              <w:t>付款</w:t>
            </w:r>
            <w:r>
              <w:rPr>
                <w:rFonts w:ascii="Times New Roman" w:hAnsi="Times New Roman" w:eastAsia="宋体" w:cs="Times New Roman"/>
                <w:szCs w:val="21"/>
              </w:rPr>
              <w:t>条件</w:t>
            </w:r>
          </w:p>
        </w:tc>
        <w:tc>
          <w:tcPr>
            <w:tcW w:w="7396" w:type="dxa"/>
            <w:gridSpan w:val="4"/>
            <w:tcBorders>
              <w:top w:val="single" w:color="auto" w:sz="4" w:space="0"/>
              <w:left w:val="single" w:color="auto" w:sz="4" w:space="0"/>
              <w:bottom w:val="single" w:color="auto" w:sz="4" w:space="0"/>
              <w:right w:val="single" w:color="auto" w:sz="4" w:space="0"/>
            </w:tcBorders>
            <w:vAlign w:val="center"/>
          </w:tcPr>
          <w:p w14:paraId="65FB2A05">
            <w:pPr>
              <w:spacing w:line="240" w:lineRule="auto"/>
              <w:rPr>
                <w:rFonts w:ascii="Times New Roman" w:hAnsi="Times New Roman" w:eastAsia="宋体" w:cs="Times New Roman"/>
                <w:kern w:val="1"/>
                <w:szCs w:val="21"/>
              </w:rPr>
            </w:pPr>
            <w:r>
              <w:rPr>
                <w:rFonts w:ascii="Times New Roman" w:hAnsi="Times New Roman" w:eastAsia="宋体" w:cs="Times New Roman"/>
                <w:kern w:val="1"/>
                <w:szCs w:val="21"/>
              </w:rPr>
              <w:t>合同约定时间内交货，供应商安装调试，经采购人验收合格后，在15个工作日内凭供应商开具的全额发票，一次性付清全部货款。</w:t>
            </w:r>
          </w:p>
        </w:tc>
      </w:tr>
      <w:tr w14:paraId="4D2A5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14:paraId="4AC0452B">
            <w:pPr>
              <w:autoSpaceDE w:val="0"/>
              <w:autoSpaceDN w:val="0"/>
              <w:adjustRightInd w:val="0"/>
              <w:spacing w:line="240" w:lineRule="auto"/>
              <w:jc w:val="left"/>
              <w:rPr>
                <w:rFonts w:ascii="Times New Roman" w:hAnsi="Times New Roman" w:eastAsia="宋体" w:cs="Times New Roman"/>
                <w:kern w:val="0"/>
                <w:szCs w:val="21"/>
              </w:rPr>
            </w:pPr>
            <w:r>
              <w:rPr>
                <w:rFonts w:ascii="Times New Roman" w:hAnsi="Times New Roman" w:eastAsia="宋体" w:cs="Times New Roman"/>
                <w:b/>
                <w:kern w:val="0"/>
                <w:szCs w:val="21"/>
              </w:rPr>
              <w:t>三、其他要求</w:t>
            </w:r>
          </w:p>
        </w:tc>
      </w:tr>
      <w:tr w14:paraId="34794E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6"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14:paraId="6C947343">
            <w:pPr>
              <w:autoSpaceDE w:val="0"/>
              <w:autoSpaceDN w:val="0"/>
              <w:adjustRightInd w:val="0"/>
              <w:spacing w:line="240" w:lineRule="auto"/>
              <w:jc w:val="center"/>
              <w:rPr>
                <w:rFonts w:ascii="Times New Roman" w:hAnsi="Times New Roman" w:eastAsia="宋体" w:cs="Times New Roman"/>
                <w:kern w:val="0"/>
                <w:szCs w:val="21"/>
              </w:rPr>
            </w:pPr>
          </w:p>
        </w:tc>
        <w:tc>
          <w:tcPr>
            <w:tcW w:w="7396" w:type="dxa"/>
            <w:gridSpan w:val="4"/>
            <w:tcBorders>
              <w:top w:val="single" w:color="auto" w:sz="4" w:space="0"/>
              <w:left w:val="single" w:color="auto" w:sz="4" w:space="0"/>
              <w:bottom w:val="single" w:color="auto" w:sz="4" w:space="0"/>
              <w:right w:val="single" w:color="auto" w:sz="4" w:space="0"/>
            </w:tcBorders>
            <w:vAlign w:val="center"/>
          </w:tcPr>
          <w:p w14:paraId="1616C136">
            <w:pPr>
              <w:autoSpaceDE w:val="0"/>
              <w:autoSpaceDN w:val="0"/>
              <w:adjustRightInd w:val="0"/>
              <w:spacing w:line="240" w:lineRule="auto"/>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 15</w:t>
            </w:r>
            <w:r>
              <w:rPr>
                <w:rFonts w:ascii="Times New Roman" w:hAnsi="Times New Roman" w:eastAsia="宋体" w:cs="Times New Roman"/>
              </w:rPr>
              <w:t>个</w:t>
            </w:r>
            <w:r>
              <w:rPr>
                <w:rFonts w:hint="eastAsia" w:ascii="Times New Roman" w:hAnsi="Times New Roman" w:eastAsia="宋体" w:cs="Times New Roman"/>
              </w:rPr>
              <w:t>自然</w:t>
            </w:r>
            <w:r>
              <w:rPr>
                <w:rFonts w:ascii="Times New Roman" w:hAnsi="Times New Roman" w:eastAsia="宋体" w:cs="Times New Roman"/>
              </w:rPr>
              <w:t>日内</w:t>
            </w:r>
            <w:r>
              <w:rPr>
                <w:rFonts w:hint="eastAsia" w:ascii="Times New Roman" w:hAnsi="Times New Roman" w:eastAsia="宋体" w:cs="Times New Roman"/>
              </w:rPr>
              <w:t>必须</w:t>
            </w:r>
            <w:r>
              <w:rPr>
                <w:rFonts w:ascii="Times New Roman" w:hAnsi="Times New Roman" w:eastAsia="宋体" w:cs="Times New Roman"/>
              </w:rPr>
              <w:t>完成</w:t>
            </w:r>
            <w:r>
              <w:rPr>
                <w:rFonts w:hint="eastAsia" w:ascii="Times New Roman" w:hAnsi="Times New Roman" w:eastAsia="宋体" w:cs="Times New Roman"/>
              </w:rPr>
              <w:t>发货安装和试运行的流程</w:t>
            </w:r>
            <w:r>
              <w:rPr>
                <w:rFonts w:ascii="Times New Roman" w:hAnsi="Times New Roman" w:eastAsia="宋体" w:cs="Times New Roman"/>
              </w:rPr>
              <w:t>。</w:t>
            </w:r>
          </w:p>
          <w:p w14:paraId="01FEEF71">
            <w:pPr>
              <w:autoSpaceDE w:val="0"/>
              <w:autoSpaceDN w:val="0"/>
              <w:adjustRightInd w:val="0"/>
              <w:spacing w:line="240" w:lineRule="auto"/>
              <w:jc w:val="left"/>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 xml:space="preserve">. </w:t>
            </w:r>
            <w:r>
              <w:rPr>
                <w:rFonts w:ascii="Times New Roman" w:hAnsi="Times New Roman" w:eastAsia="宋体" w:cs="Times New Roman"/>
              </w:rPr>
              <w:t>本项目</w:t>
            </w:r>
            <w:r>
              <w:rPr>
                <w:rFonts w:hint="eastAsia" w:ascii="Times New Roman" w:hAnsi="Times New Roman" w:eastAsia="宋体" w:cs="Times New Roman"/>
              </w:rPr>
              <w:t>报价</w:t>
            </w:r>
            <w:r>
              <w:rPr>
                <w:rFonts w:ascii="Times New Roman" w:hAnsi="Times New Roman" w:eastAsia="宋体" w:cs="Times New Roman"/>
              </w:rPr>
              <w:t>采用全包方式</w:t>
            </w:r>
            <w:r>
              <w:rPr>
                <w:rFonts w:hint="eastAsia" w:ascii="Times New Roman" w:hAnsi="Times New Roman" w:eastAsia="宋体" w:cs="Times New Roman"/>
              </w:rPr>
              <w:t>，</w:t>
            </w:r>
            <w:r>
              <w:rPr>
                <w:rFonts w:ascii="Times New Roman" w:hAnsi="Times New Roman" w:eastAsia="宋体" w:cs="Times New Roman"/>
              </w:rPr>
              <w:t>即合同金额包括一切施工设备、人工费、各种保险费、税费等一切费用。</w:t>
            </w:r>
            <w:r>
              <w:rPr>
                <w:rFonts w:hint="eastAsia" w:ascii="Times New Roman" w:hAnsi="Times New Roman" w:eastAsia="宋体" w:cs="Times New Roman"/>
              </w:rPr>
              <w:t>除此</w:t>
            </w:r>
            <w:r>
              <w:rPr>
                <w:rFonts w:ascii="Times New Roman" w:hAnsi="Times New Roman" w:eastAsia="宋体" w:cs="Times New Roman"/>
              </w:rPr>
              <w:t>报价</w:t>
            </w:r>
            <w:r>
              <w:rPr>
                <w:rFonts w:hint="eastAsia" w:ascii="Times New Roman" w:hAnsi="Times New Roman" w:eastAsia="宋体" w:cs="Times New Roman"/>
              </w:rPr>
              <w:t>外供应商不得收取其他额外费用。</w:t>
            </w:r>
          </w:p>
          <w:p w14:paraId="712F0901">
            <w:pPr>
              <w:autoSpaceDE w:val="0"/>
              <w:autoSpaceDN w:val="0"/>
              <w:adjustRightInd w:val="0"/>
              <w:spacing w:line="240" w:lineRule="auto"/>
              <w:jc w:val="lef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 xml:space="preserve">. </w:t>
            </w:r>
            <w:bookmarkStart w:id="0" w:name="_GoBack"/>
            <w:bookmarkEnd w:id="0"/>
            <w:r>
              <w:rPr>
                <w:rFonts w:ascii="Times New Roman" w:hAnsi="Times New Roman" w:eastAsia="宋体" w:cs="Times New Roman"/>
              </w:rPr>
              <w:t>供应商应充分考虑供货成本及参数要求再进行报价，如供应商低价恶意竞价、且成交后无法按要求提供货物或者所供货物及资质要求无法满足参数要求的，采购人将按虚假竞标处理，并保留因耽误采购人使用时间造成的损失进行赔偿的权利，通过报备政采云平台及财政厅监管部门，并按规定对投标人公司予以处罚和进行网上通报处理，追究投标人的法律责任，</w:t>
            </w:r>
            <w:r>
              <w:rPr>
                <w:rFonts w:hint="eastAsia" w:ascii="Times New Roman" w:hAnsi="Times New Roman" w:eastAsia="宋体" w:cs="Times New Roman"/>
              </w:rPr>
              <w:t>并有权推荐第二中标候选人中标，</w:t>
            </w:r>
            <w:r>
              <w:rPr>
                <w:rFonts w:ascii="Times New Roman" w:hAnsi="Times New Roman" w:eastAsia="宋体" w:cs="Times New Roman"/>
              </w:rPr>
              <w:t>由此引发的一切后果由投标人承担。</w:t>
            </w:r>
          </w:p>
        </w:tc>
      </w:tr>
    </w:tbl>
    <w:p w14:paraId="2CD65CD4">
      <w:pPr>
        <w:pStyle w:val="9"/>
        <w:widowControl/>
        <w:spacing w:after="452" w:line="555" w:lineRule="atLeast"/>
        <w:rPr>
          <w:rStyle w:val="14"/>
          <w:rFonts w:ascii="Times New Roman" w:hAnsi="Times New Roman" w:eastAsia="宋体"/>
          <w:color w:val="333333"/>
          <w:sz w:val="28"/>
          <w:szCs w:val="28"/>
          <w:shd w:val="clear" w:color="auto" w:fill="FFFFFF"/>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099594"/>
    </w:sdtPr>
    <w:sdtContent>
      <w:sdt>
        <w:sdtPr>
          <w:id w:val="171357217"/>
        </w:sdtPr>
        <w:sdtContent>
          <w:p w14:paraId="45EA8245">
            <w:pPr>
              <w:pStyle w:val="7"/>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430AA2"/>
    <w:multiLevelType w:val="multilevel"/>
    <w:tmpl w:val="22430AA2"/>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58981148"/>
    <w:multiLevelType w:val="multilevel"/>
    <w:tmpl w:val="58981148"/>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5D1D6472"/>
    <w:multiLevelType w:val="multilevel"/>
    <w:tmpl w:val="5D1D6472"/>
    <w:lvl w:ilvl="0" w:tentative="0">
      <w:start w:val="1"/>
      <w:numFmt w:val="decimal"/>
      <w:lvlText w:val="%1)"/>
      <w:lvlJc w:val="left"/>
      <w:pPr>
        <w:ind w:left="880" w:hanging="440"/>
      </w:pPr>
    </w:lvl>
    <w:lvl w:ilvl="1" w:tentative="0">
      <w:start w:val="1"/>
      <w:numFmt w:val="lowerLetter"/>
      <w:lvlText w:val="%2)"/>
      <w:lvlJc w:val="left"/>
      <w:pPr>
        <w:ind w:left="1320" w:hanging="440"/>
      </w:pPr>
    </w:lvl>
    <w:lvl w:ilvl="2" w:tentative="0">
      <w:start w:val="1"/>
      <w:numFmt w:val="lowerRoman"/>
      <w:lvlText w:val="%3."/>
      <w:lvlJc w:val="right"/>
      <w:pPr>
        <w:ind w:left="1760" w:hanging="440"/>
      </w:pPr>
    </w:lvl>
    <w:lvl w:ilvl="3" w:tentative="0">
      <w:start w:val="1"/>
      <w:numFmt w:val="decimal"/>
      <w:lvlText w:val="%4."/>
      <w:lvlJc w:val="left"/>
      <w:pPr>
        <w:ind w:left="2200" w:hanging="440"/>
      </w:pPr>
    </w:lvl>
    <w:lvl w:ilvl="4" w:tentative="0">
      <w:start w:val="1"/>
      <w:numFmt w:val="lowerLetter"/>
      <w:lvlText w:val="%5)"/>
      <w:lvlJc w:val="left"/>
      <w:pPr>
        <w:ind w:left="2640" w:hanging="440"/>
      </w:pPr>
    </w:lvl>
    <w:lvl w:ilvl="5" w:tentative="0">
      <w:start w:val="1"/>
      <w:numFmt w:val="lowerRoman"/>
      <w:lvlText w:val="%6."/>
      <w:lvlJc w:val="right"/>
      <w:pPr>
        <w:ind w:left="3080" w:hanging="440"/>
      </w:pPr>
    </w:lvl>
    <w:lvl w:ilvl="6" w:tentative="0">
      <w:start w:val="1"/>
      <w:numFmt w:val="decimal"/>
      <w:lvlText w:val="%7."/>
      <w:lvlJc w:val="left"/>
      <w:pPr>
        <w:ind w:left="3520" w:hanging="440"/>
      </w:pPr>
    </w:lvl>
    <w:lvl w:ilvl="7" w:tentative="0">
      <w:start w:val="1"/>
      <w:numFmt w:val="lowerLetter"/>
      <w:lvlText w:val="%8)"/>
      <w:lvlJc w:val="left"/>
      <w:pPr>
        <w:ind w:left="3960" w:hanging="440"/>
      </w:pPr>
    </w:lvl>
    <w:lvl w:ilvl="8" w:tentative="0">
      <w:start w:val="1"/>
      <w:numFmt w:val="lowerRoman"/>
      <w:lvlText w:val="%9."/>
      <w:lvlJc w:val="right"/>
      <w:pPr>
        <w:ind w:left="4400" w:hanging="440"/>
      </w:pPr>
    </w:lvl>
  </w:abstractNum>
  <w:abstractNum w:abstractNumId="3">
    <w:nsid w:val="5DD16CDB"/>
    <w:multiLevelType w:val="multilevel"/>
    <w:tmpl w:val="5DD16CDB"/>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61427F64"/>
    <w:multiLevelType w:val="multilevel"/>
    <w:tmpl w:val="61427F64"/>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715B0513"/>
    <w:multiLevelType w:val="multilevel"/>
    <w:tmpl w:val="715B0513"/>
    <w:lvl w:ilvl="0" w:tentative="0">
      <w:start w:val="1"/>
      <w:numFmt w:val="decimal"/>
      <w:lvlText w:val="%1)"/>
      <w:lvlJc w:val="left"/>
      <w:pPr>
        <w:ind w:left="880" w:hanging="440"/>
      </w:pPr>
    </w:lvl>
    <w:lvl w:ilvl="1" w:tentative="0">
      <w:start w:val="1"/>
      <w:numFmt w:val="lowerLetter"/>
      <w:lvlText w:val="%2)"/>
      <w:lvlJc w:val="left"/>
      <w:pPr>
        <w:ind w:left="1320" w:hanging="440"/>
      </w:pPr>
    </w:lvl>
    <w:lvl w:ilvl="2" w:tentative="0">
      <w:start w:val="1"/>
      <w:numFmt w:val="lowerRoman"/>
      <w:lvlText w:val="%3."/>
      <w:lvlJc w:val="right"/>
      <w:pPr>
        <w:ind w:left="1760" w:hanging="440"/>
      </w:pPr>
    </w:lvl>
    <w:lvl w:ilvl="3" w:tentative="0">
      <w:start w:val="1"/>
      <w:numFmt w:val="decimal"/>
      <w:lvlText w:val="%4."/>
      <w:lvlJc w:val="left"/>
      <w:pPr>
        <w:ind w:left="2200" w:hanging="440"/>
      </w:pPr>
    </w:lvl>
    <w:lvl w:ilvl="4" w:tentative="0">
      <w:start w:val="1"/>
      <w:numFmt w:val="lowerLetter"/>
      <w:lvlText w:val="%5)"/>
      <w:lvlJc w:val="left"/>
      <w:pPr>
        <w:ind w:left="2640" w:hanging="440"/>
      </w:pPr>
    </w:lvl>
    <w:lvl w:ilvl="5" w:tentative="0">
      <w:start w:val="1"/>
      <w:numFmt w:val="lowerRoman"/>
      <w:lvlText w:val="%6."/>
      <w:lvlJc w:val="right"/>
      <w:pPr>
        <w:ind w:left="3080" w:hanging="440"/>
      </w:pPr>
    </w:lvl>
    <w:lvl w:ilvl="6" w:tentative="0">
      <w:start w:val="1"/>
      <w:numFmt w:val="decimal"/>
      <w:lvlText w:val="%7."/>
      <w:lvlJc w:val="left"/>
      <w:pPr>
        <w:ind w:left="3520" w:hanging="440"/>
      </w:pPr>
    </w:lvl>
    <w:lvl w:ilvl="7" w:tentative="0">
      <w:start w:val="1"/>
      <w:numFmt w:val="lowerLetter"/>
      <w:lvlText w:val="%8)"/>
      <w:lvlJc w:val="left"/>
      <w:pPr>
        <w:ind w:left="3960" w:hanging="440"/>
      </w:pPr>
    </w:lvl>
    <w:lvl w:ilvl="8" w:tentative="0">
      <w:start w:val="1"/>
      <w:numFmt w:val="lowerRoman"/>
      <w:lvlText w:val="%9."/>
      <w:lvlJc w:val="right"/>
      <w:pPr>
        <w:ind w:left="4400" w:hanging="440"/>
      </w:p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hMjIyOTkzNzljNzA1ZTRjMjg3YTQwNDAzMGMwM2QifQ=="/>
  </w:docVars>
  <w:rsids>
    <w:rsidRoot w:val="52D653D6"/>
    <w:rsid w:val="00002994"/>
    <w:rsid w:val="000102D3"/>
    <w:rsid w:val="0001736C"/>
    <w:rsid w:val="00021BD6"/>
    <w:rsid w:val="000408C1"/>
    <w:rsid w:val="00047C0E"/>
    <w:rsid w:val="00056B5E"/>
    <w:rsid w:val="000808B9"/>
    <w:rsid w:val="00082409"/>
    <w:rsid w:val="00082EF6"/>
    <w:rsid w:val="0008314C"/>
    <w:rsid w:val="00087E6F"/>
    <w:rsid w:val="00092BBF"/>
    <w:rsid w:val="000953D5"/>
    <w:rsid w:val="000A3D19"/>
    <w:rsid w:val="000A5D39"/>
    <w:rsid w:val="000C4E31"/>
    <w:rsid w:val="000E64E3"/>
    <w:rsid w:val="0010348A"/>
    <w:rsid w:val="00110A81"/>
    <w:rsid w:val="00127AFC"/>
    <w:rsid w:val="00133620"/>
    <w:rsid w:val="00150216"/>
    <w:rsid w:val="00156346"/>
    <w:rsid w:val="00162D1C"/>
    <w:rsid w:val="0017414C"/>
    <w:rsid w:val="00192B10"/>
    <w:rsid w:val="001B030E"/>
    <w:rsid w:val="001B37D8"/>
    <w:rsid w:val="001C0A0B"/>
    <w:rsid w:val="001C5E3E"/>
    <w:rsid w:val="001D0CC4"/>
    <w:rsid w:val="001D2098"/>
    <w:rsid w:val="001D3CF7"/>
    <w:rsid w:val="001D40D9"/>
    <w:rsid w:val="001E644A"/>
    <w:rsid w:val="001F1305"/>
    <w:rsid w:val="00203BBF"/>
    <w:rsid w:val="00204020"/>
    <w:rsid w:val="00215477"/>
    <w:rsid w:val="00225CCE"/>
    <w:rsid w:val="002310AC"/>
    <w:rsid w:val="00232C58"/>
    <w:rsid w:val="00253977"/>
    <w:rsid w:val="002562E1"/>
    <w:rsid w:val="00266758"/>
    <w:rsid w:val="0027639E"/>
    <w:rsid w:val="002A648D"/>
    <w:rsid w:val="002C48D1"/>
    <w:rsid w:val="00303FCE"/>
    <w:rsid w:val="00312577"/>
    <w:rsid w:val="00351A5E"/>
    <w:rsid w:val="003753CB"/>
    <w:rsid w:val="003A009D"/>
    <w:rsid w:val="003D1DCB"/>
    <w:rsid w:val="003D7CA4"/>
    <w:rsid w:val="00401437"/>
    <w:rsid w:val="004071AF"/>
    <w:rsid w:val="0040787D"/>
    <w:rsid w:val="004167FA"/>
    <w:rsid w:val="00431E0E"/>
    <w:rsid w:val="00435453"/>
    <w:rsid w:val="00474A3B"/>
    <w:rsid w:val="0048288D"/>
    <w:rsid w:val="0048565F"/>
    <w:rsid w:val="004D446A"/>
    <w:rsid w:val="004D6593"/>
    <w:rsid w:val="004E3B7E"/>
    <w:rsid w:val="004E5F3B"/>
    <w:rsid w:val="005166BE"/>
    <w:rsid w:val="0052249A"/>
    <w:rsid w:val="005379C7"/>
    <w:rsid w:val="00547DDF"/>
    <w:rsid w:val="0055287B"/>
    <w:rsid w:val="005650B2"/>
    <w:rsid w:val="005B2178"/>
    <w:rsid w:val="005C6D2A"/>
    <w:rsid w:val="005E1921"/>
    <w:rsid w:val="005E4818"/>
    <w:rsid w:val="005E4C14"/>
    <w:rsid w:val="005E4ECB"/>
    <w:rsid w:val="00603052"/>
    <w:rsid w:val="006128DF"/>
    <w:rsid w:val="00624C0D"/>
    <w:rsid w:val="00625B6B"/>
    <w:rsid w:val="00651D11"/>
    <w:rsid w:val="00660F53"/>
    <w:rsid w:val="006660B4"/>
    <w:rsid w:val="00681F69"/>
    <w:rsid w:val="006A4493"/>
    <w:rsid w:val="006C62A8"/>
    <w:rsid w:val="006C7C5A"/>
    <w:rsid w:val="006D028E"/>
    <w:rsid w:val="006D06C6"/>
    <w:rsid w:val="006D1EC9"/>
    <w:rsid w:val="006D1F21"/>
    <w:rsid w:val="006D3EE4"/>
    <w:rsid w:val="006E0179"/>
    <w:rsid w:val="006E297E"/>
    <w:rsid w:val="006E3CF1"/>
    <w:rsid w:val="006E6C19"/>
    <w:rsid w:val="00710C8F"/>
    <w:rsid w:val="00713573"/>
    <w:rsid w:val="007270EA"/>
    <w:rsid w:val="00733E15"/>
    <w:rsid w:val="0075181E"/>
    <w:rsid w:val="007828C7"/>
    <w:rsid w:val="007942C7"/>
    <w:rsid w:val="007A4C72"/>
    <w:rsid w:val="007B21E3"/>
    <w:rsid w:val="007B4626"/>
    <w:rsid w:val="007C5205"/>
    <w:rsid w:val="00801CC6"/>
    <w:rsid w:val="0080519D"/>
    <w:rsid w:val="00830BFD"/>
    <w:rsid w:val="00835CD1"/>
    <w:rsid w:val="00853064"/>
    <w:rsid w:val="00857045"/>
    <w:rsid w:val="00865EA8"/>
    <w:rsid w:val="00871030"/>
    <w:rsid w:val="00876BBE"/>
    <w:rsid w:val="00885FCB"/>
    <w:rsid w:val="008B090F"/>
    <w:rsid w:val="008D14DD"/>
    <w:rsid w:val="008D28D6"/>
    <w:rsid w:val="008E356A"/>
    <w:rsid w:val="008E6872"/>
    <w:rsid w:val="008F2BB9"/>
    <w:rsid w:val="008F3BD1"/>
    <w:rsid w:val="00921188"/>
    <w:rsid w:val="009254E6"/>
    <w:rsid w:val="00933947"/>
    <w:rsid w:val="00954DF6"/>
    <w:rsid w:val="00960CC4"/>
    <w:rsid w:val="00973544"/>
    <w:rsid w:val="00976B0B"/>
    <w:rsid w:val="00980C1A"/>
    <w:rsid w:val="00991123"/>
    <w:rsid w:val="009A0E5A"/>
    <w:rsid w:val="009A4990"/>
    <w:rsid w:val="009B536B"/>
    <w:rsid w:val="009C2FE9"/>
    <w:rsid w:val="009E24CA"/>
    <w:rsid w:val="009E40CD"/>
    <w:rsid w:val="009E469C"/>
    <w:rsid w:val="009F3F9A"/>
    <w:rsid w:val="00A173CF"/>
    <w:rsid w:val="00A25973"/>
    <w:rsid w:val="00A46721"/>
    <w:rsid w:val="00A47DB9"/>
    <w:rsid w:val="00A679C4"/>
    <w:rsid w:val="00A82D07"/>
    <w:rsid w:val="00A86CD0"/>
    <w:rsid w:val="00A91344"/>
    <w:rsid w:val="00AC4CAC"/>
    <w:rsid w:val="00AC6052"/>
    <w:rsid w:val="00AC7DAE"/>
    <w:rsid w:val="00AD5999"/>
    <w:rsid w:val="00AE5F79"/>
    <w:rsid w:val="00B07709"/>
    <w:rsid w:val="00B11EDA"/>
    <w:rsid w:val="00B12D00"/>
    <w:rsid w:val="00B17646"/>
    <w:rsid w:val="00B25E09"/>
    <w:rsid w:val="00B55956"/>
    <w:rsid w:val="00B81F9C"/>
    <w:rsid w:val="00B86469"/>
    <w:rsid w:val="00B95E1D"/>
    <w:rsid w:val="00B96A3E"/>
    <w:rsid w:val="00BB058F"/>
    <w:rsid w:val="00BB208F"/>
    <w:rsid w:val="00BD4895"/>
    <w:rsid w:val="00BD6001"/>
    <w:rsid w:val="00BE601F"/>
    <w:rsid w:val="00BF406C"/>
    <w:rsid w:val="00BF531C"/>
    <w:rsid w:val="00C14009"/>
    <w:rsid w:val="00C30E63"/>
    <w:rsid w:val="00C54DB5"/>
    <w:rsid w:val="00C671A9"/>
    <w:rsid w:val="00C75936"/>
    <w:rsid w:val="00C81107"/>
    <w:rsid w:val="00C92655"/>
    <w:rsid w:val="00C961C2"/>
    <w:rsid w:val="00C97205"/>
    <w:rsid w:val="00CB26C2"/>
    <w:rsid w:val="00CE11B5"/>
    <w:rsid w:val="00CF4136"/>
    <w:rsid w:val="00CF77EF"/>
    <w:rsid w:val="00D13312"/>
    <w:rsid w:val="00D13A3C"/>
    <w:rsid w:val="00D20611"/>
    <w:rsid w:val="00D24B5D"/>
    <w:rsid w:val="00D36B28"/>
    <w:rsid w:val="00D44D05"/>
    <w:rsid w:val="00D457A7"/>
    <w:rsid w:val="00D71E77"/>
    <w:rsid w:val="00D84986"/>
    <w:rsid w:val="00D9050C"/>
    <w:rsid w:val="00DC72FA"/>
    <w:rsid w:val="00DE3942"/>
    <w:rsid w:val="00DE62C0"/>
    <w:rsid w:val="00DF3090"/>
    <w:rsid w:val="00DF3C24"/>
    <w:rsid w:val="00E0409A"/>
    <w:rsid w:val="00E05C4D"/>
    <w:rsid w:val="00E11FB9"/>
    <w:rsid w:val="00E12ED2"/>
    <w:rsid w:val="00E25AAB"/>
    <w:rsid w:val="00E44071"/>
    <w:rsid w:val="00E4439D"/>
    <w:rsid w:val="00E72E28"/>
    <w:rsid w:val="00E86588"/>
    <w:rsid w:val="00EB7ADE"/>
    <w:rsid w:val="00EC277A"/>
    <w:rsid w:val="00EE293F"/>
    <w:rsid w:val="00EE355B"/>
    <w:rsid w:val="00EE6160"/>
    <w:rsid w:val="00EF299F"/>
    <w:rsid w:val="00EF6487"/>
    <w:rsid w:val="00F04327"/>
    <w:rsid w:val="00F052B3"/>
    <w:rsid w:val="00F06703"/>
    <w:rsid w:val="00F20CDC"/>
    <w:rsid w:val="00F25E3C"/>
    <w:rsid w:val="00F26972"/>
    <w:rsid w:val="00F330CB"/>
    <w:rsid w:val="00F348C2"/>
    <w:rsid w:val="00F5062C"/>
    <w:rsid w:val="00F56375"/>
    <w:rsid w:val="00F73016"/>
    <w:rsid w:val="00F92D4B"/>
    <w:rsid w:val="00F94F4A"/>
    <w:rsid w:val="00FB02B1"/>
    <w:rsid w:val="00FB3DFA"/>
    <w:rsid w:val="00FD620A"/>
    <w:rsid w:val="0163247B"/>
    <w:rsid w:val="09287D76"/>
    <w:rsid w:val="09E37FB3"/>
    <w:rsid w:val="0A0F5BB5"/>
    <w:rsid w:val="0C93343B"/>
    <w:rsid w:val="0E6F05D1"/>
    <w:rsid w:val="0F074FAA"/>
    <w:rsid w:val="10C8255C"/>
    <w:rsid w:val="15333719"/>
    <w:rsid w:val="157A4E35"/>
    <w:rsid w:val="15A6480D"/>
    <w:rsid w:val="1608351E"/>
    <w:rsid w:val="1DF613D3"/>
    <w:rsid w:val="20A0716E"/>
    <w:rsid w:val="21E9568B"/>
    <w:rsid w:val="26A022EB"/>
    <w:rsid w:val="278E005D"/>
    <w:rsid w:val="288B42E2"/>
    <w:rsid w:val="2FEC2936"/>
    <w:rsid w:val="30175C86"/>
    <w:rsid w:val="3038292B"/>
    <w:rsid w:val="306D7DC2"/>
    <w:rsid w:val="33F53549"/>
    <w:rsid w:val="38290730"/>
    <w:rsid w:val="3BDC4EF4"/>
    <w:rsid w:val="41842ED7"/>
    <w:rsid w:val="41E80EEB"/>
    <w:rsid w:val="44E060C2"/>
    <w:rsid w:val="4708796F"/>
    <w:rsid w:val="47283916"/>
    <w:rsid w:val="4A8C26DF"/>
    <w:rsid w:val="508F329F"/>
    <w:rsid w:val="52264F17"/>
    <w:rsid w:val="527B4618"/>
    <w:rsid w:val="52B813CD"/>
    <w:rsid w:val="52D653D6"/>
    <w:rsid w:val="58E50BA2"/>
    <w:rsid w:val="598B674F"/>
    <w:rsid w:val="5B8E2CD1"/>
    <w:rsid w:val="5D5E44AA"/>
    <w:rsid w:val="6045103E"/>
    <w:rsid w:val="628F7431"/>
    <w:rsid w:val="67D866A0"/>
    <w:rsid w:val="6C28527F"/>
    <w:rsid w:val="6D6123F1"/>
    <w:rsid w:val="7357203A"/>
    <w:rsid w:val="75352A78"/>
    <w:rsid w:val="7835786E"/>
    <w:rsid w:val="7C2B051C"/>
    <w:rsid w:val="7CDA5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uiPriority="0" w:name="HTML Sample"/>
    <w:lsdException w:uiPriority="0" w:name="HTML Typewriter"/>
    <w:lsdException w:qFormat="1" w:unhideWhenUsed="0" w:uiPriority="0" w:semiHidden="0" w:name="HTML Variable"/>
    <w:lsdException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jc w:val="left"/>
      <w:outlineLvl w:val="1"/>
    </w:pPr>
    <w:rPr>
      <w:rFonts w:hint="eastAsia" w:ascii="宋体" w:hAnsi="宋体" w:eastAsia="宋体" w:cs="Times New Roman"/>
      <w:kern w:val="0"/>
      <w:sz w:val="24"/>
    </w:rPr>
  </w:style>
  <w:style w:type="paragraph" w:styleId="3">
    <w:name w:val="heading 4"/>
    <w:basedOn w:val="1"/>
    <w:next w:val="1"/>
    <w:unhideWhenUsed/>
    <w:qFormat/>
    <w:uiPriority w:val="0"/>
    <w:pPr>
      <w:jc w:val="left"/>
      <w:outlineLvl w:val="3"/>
    </w:pPr>
    <w:rPr>
      <w:rFonts w:hint="eastAsia" w:ascii="宋体" w:hAnsi="宋体" w:eastAsia="宋体" w:cs="Times New Roman"/>
      <w:kern w:val="0"/>
      <w:sz w:val="24"/>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34"/>
    <w:unhideWhenUsed/>
    <w:qFormat/>
    <w:uiPriority w:val="0"/>
    <w:pPr>
      <w:jc w:val="left"/>
    </w:pPr>
  </w:style>
  <w:style w:type="paragraph" w:styleId="5">
    <w:name w:val="Plain Text"/>
    <w:basedOn w:val="1"/>
    <w:link w:val="31"/>
    <w:qFormat/>
    <w:uiPriority w:val="0"/>
    <w:rPr>
      <w:rFonts w:ascii="宋体" w:hAnsi="Courier New" w:eastAsia="宋体" w:cs="Courier New"/>
      <w:kern w:val="0"/>
      <w:sz w:val="20"/>
      <w:szCs w:val="21"/>
    </w:rPr>
  </w:style>
  <w:style w:type="paragraph" w:styleId="6">
    <w:name w:val="Balloon Text"/>
    <w:basedOn w:val="1"/>
    <w:link w:val="36"/>
    <w:unhideWhenUsed/>
    <w:qFormat/>
    <w:uiPriority w:val="0"/>
    <w:rPr>
      <w:sz w:val="18"/>
      <w:szCs w:val="18"/>
    </w:rPr>
  </w:style>
  <w:style w:type="paragraph" w:styleId="7">
    <w:name w:val="footer"/>
    <w:basedOn w:val="1"/>
    <w:link w:val="29"/>
    <w:qFormat/>
    <w:uiPriority w:val="99"/>
    <w:pPr>
      <w:tabs>
        <w:tab w:val="center" w:pos="4153"/>
        <w:tab w:val="right" w:pos="8306"/>
      </w:tabs>
      <w:snapToGrid w:val="0"/>
      <w:jc w:val="left"/>
    </w:pPr>
    <w:rPr>
      <w:sz w:val="18"/>
      <w:szCs w:val="18"/>
    </w:rPr>
  </w:style>
  <w:style w:type="paragraph" w:styleId="8">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jc w:val="left"/>
    </w:pPr>
    <w:rPr>
      <w:rFonts w:cs="Times New Roman"/>
      <w:kern w:val="0"/>
      <w:sz w:val="24"/>
    </w:rPr>
  </w:style>
  <w:style w:type="paragraph" w:styleId="10">
    <w:name w:val="annotation subject"/>
    <w:basedOn w:val="4"/>
    <w:next w:val="4"/>
    <w:link w:val="35"/>
    <w:unhideWhenUsed/>
    <w:qFormat/>
    <w:uiPriority w:val="0"/>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FollowedHyperlink"/>
    <w:basedOn w:val="13"/>
    <w:qFormat/>
    <w:uiPriority w:val="0"/>
    <w:rPr>
      <w:color w:val="333333"/>
      <w:u w:val="none"/>
    </w:rPr>
  </w:style>
  <w:style w:type="character" w:styleId="16">
    <w:name w:val="Emphasis"/>
    <w:basedOn w:val="13"/>
    <w:qFormat/>
    <w:uiPriority w:val="0"/>
  </w:style>
  <w:style w:type="character" w:styleId="17">
    <w:name w:val="HTML Definition"/>
    <w:basedOn w:val="13"/>
    <w:qFormat/>
    <w:uiPriority w:val="0"/>
  </w:style>
  <w:style w:type="character" w:styleId="18">
    <w:name w:val="HTML Acronym"/>
    <w:basedOn w:val="13"/>
    <w:qFormat/>
    <w:uiPriority w:val="0"/>
  </w:style>
  <w:style w:type="character" w:styleId="19">
    <w:name w:val="HTML Variable"/>
    <w:basedOn w:val="13"/>
    <w:qFormat/>
    <w:uiPriority w:val="0"/>
  </w:style>
  <w:style w:type="character" w:styleId="20">
    <w:name w:val="Hyperlink"/>
    <w:basedOn w:val="13"/>
    <w:qFormat/>
    <w:uiPriority w:val="0"/>
    <w:rPr>
      <w:color w:val="333333"/>
      <w:u w:val="none"/>
    </w:rPr>
  </w:style>
  <w:style w:type="character" w:styleId="21">
    <w:name w:val="HTML Code"/>
    <w:basedOn w:val="13"/>
    <w:qFormat/>
    <w:uiPriority w:val="0"/>
    <w:rPr>
      <w:rFonts w:ascii="Courier New" w:hAnsi="Courier New"/>
      <w:sz w:val="20"/>
    </w:rPr>
  </w:style>
  <w:style w:type="character" w:styleId="22">
    <w:name w:val="annotation reference"/>
    <w:basedOn w:val="13"/>
    <w:unhideWhenUsed/>
    <w:qFormat/>
    <w:uiPriority w:val="0"/>
    <w:rPr>
      <w:sz w:val="21"/>
      <w:szCs w:val="21"/>
    </w:rPr>
  </w:style>
  <w:style w:type="character" w:styleId="23">
    <w:name w:val="HTML Cite"/>
    <w:basedOn w:val="13"/>
    <w:qFormat/>
    <w:uiPriority w:val="0"/>
  </w:style>
  <w:style w:type="character" w:customStyle="1" w:styleId="24">
    <w:name w:val="current"/>
    <w:basedOn w:val="13"/>
    <w:qFormat/>
    <w:uiPriority w:val="0"/>
    <w:rPr>
      <w:b/>
      <w:bCs/>
      <w:color w:val="FFFFFF"/>
      <w:bdr w:val="single" w:color="7D6543" w:sz="6" w:space="0"/>
      <w:shd w:val="clear" w:color="auto" w:fill="7D6543"/>
    </w:rPr>
  </w:style>
  <w:style w:type="character" w:customStyle="1" w:styleId="25">
    <w:name w:val="disabled"/>
    <w:basedOn w:val="13"/>
    <w:qFormat/>
    <w:uiPriority w:val="0"/>
    <w:rPr>
      <w:color w:val="999999"/>
      <w:bdr w:val="single" w:color="C5C5C5" w:sz="6" w:space="0"/>
    </w:rPr>
  </w:style>
  <w:style w:type="character" w:customStyle="1" w:styleId="26">
    <w:name w:val="font11"/>
    <w:basedOn w:val="13"/>
    <w:qFormat/>
    <w:uiPriority w:val="0"/>
    <w:rPr>
      <w:rFonts w:hint="eastAsia" w:ascii="宋体" w:hAnsi="宋体" w:eastAsia="宋体" w:cs="宋体"/>
      <w:color w:val="000000"/>
      <w:sz w:val="24"/>
      <w:szCs w:val="24"/>
      <w:u w:val="none"/>
    </w:rPr>
  </w:style>
  <w:style w:type="character" w:customStyle="1" w:styleId="27">
    <w:name w:val="font31"/>
    <w:basedOn w:val="13"/>
    <w:qFormat/>
    <w:uiPriority w:val="0"/>
    <w:rPr>
      <w:rFonts w:hint="eastAsia" w:ascii="宋体" w:hAnsi="宋体" w:eastAsia="宋体" w:cs="宋体"/>
      <w:color w:val="000000"/>
      <w:sz w:val="24"/>
      <w:szCs w:val="24"/>
      <w:u w:val="none"/>
    </w:rPr>
  </w:style>
  <w:style w:type="character" w:customStyle="1" w:styleId="28">
    <w:name w:val="页眉 字符"/>
    <w:basedOn w:val="13"/>
    <w:link w:val="8"/>
    <w:qFormat/>
    <w:uiPriority w:val="99"/>
    <w:rPr>
      <w:rFonts w:asciiTheme="minorHAnsi" w:hAnsiTheme="minorHAnsi" w:eastAsiaTheme="minorEastAsia" w:cstheme="minorBidi"/>
      <w:kern w:val="2"/>
      <w:sz w:val="18"/>
      <w:szCs w:val="18"/>
    </w:rPr>
  </w:style>
  <w:style w:type="character" w:customStyle="1" w:styleId="29">
    <w:name w:val="页脚 字符"/>
    <w:basedOn w:val="13"/>
    <w:link w:val="7"/>
    <w:qFormat/>
    <w:uiPriority w:val="99"/>
    <w:rPr>
      <w:rFonts w:asciiTheme="minorHAnsi" w:hAnsiTheme="minorHAnsi" w:eastAsiaTheme="minorEastAsia" w:cstheme="minorBidi"/>
      <w:kern w:val="2"/>
      <w:sz w:val="18"/>
      <w:szCs w:val="18"/>
    </w:rPr>
  </w:style>
  <w:style w:type="paragraph" w:customStyle="1" w:styleId="30">
    <w:name w:val="列表段落1"/>
    <w:basedOn w:val="1"/>
    <w:unhideWhenUsed/>
    <w:qFormat/>
    <w:uiPriority w:val="99"/>
    <w:pPr>
      <w:ind w:firstLine="420" w:firstLineChars="200"/>
    </w:pPr>
  </w:style>
  <w:style w:type="character" w:customStyle="1" w:styleId="31">
    <w:name w:val="纯文本 字符"/>
    <w:basedOn w:val="13"/>
    <w:link w:val="5"/>
    <w:qFormat/>
    <w:uiPriority w:val="0"/>
    <w:rPr>
      <w:rFonts w:ascii="宋体" w:hAnsi="Courier New" w:cs="Courier New"/>
      <w:szCs w:val="21"/>
    </w:rPr>
  </w:style>
  <w:style w:type="paragraph" w:customStyle="1" w:styleId="32">
    <w:name w:val="无间隔1"/>
    <w:link w:val="33"/>
    <w:qFormat/>
    <w:uiPriority w:val="1"/>
    <w:pPr>
      <w:spacing w:after="160" w:line="278" w:lineRule="auto"/>
    </w:pPr>
    <w:rPr>
      <w:rFonts w:asciiTheme="minorHAnsi" w:hAnsiTheme="minorHAnsi" w:eastAsiaTheme="minorEastAsia" w:cstheme="minorBidi"/>
      <w:sz w:val="22"/>
      <w:szCs w:val="22"/>
      <w:lang w:val="en-US" w:eastAsia="zh-CN" w:bidi="ar-SA"/>
    </w:rPr>
  </w:style>
  <w:style w:type="character" w:customStyle="1" w:styleId="33">
    <w:name w:val="无间隔 Char"/>
    <w:basedOn w:val="13"/>
    <w:link w:val="32"/>
    <w:qFormat/>
    <w:uiPriority w:val="1"/>
    <w:rPr>
      <w:rFonts w:asciiTheme="minorHAnsi" w:hAnsiTheme="minorHAnsi" w:eastAsiaTheme="minorEastAsia" w:cstheme="minorBidi"/>
      <w:sz w:val="22"/>
      <w:szCs w:val="22"/>
    </w:rPr>
  </w:style>
  <w:style w:type="character" w:customStyle="1" w:styleId="34">
    <w:name w:val="批注文字 字符"/>
    <w:basedOn w:val="13"/>
    <w:link w:val="4"/>
    <w:semiHidden/>
    <w:qFormat/>
    <w:uiPriority w:val="0"/>
    <w:rPr>
      <w:rFonts w:asciiTheme="minorHAnsi" w:hAnsiTheme="minorHAnsi" w:eastAsiaTheme="minorEastAsia" w:cstheme="minorBidi"/>
      <w:kern w:val="2"/>
      <w:sz w:val="21"/>
      <w:szCs w:val="24"/>
    </w:rPr>
  </w:style>
  <w:style w:type="character" w:customStyle="1" w:styleId="35">
    <w:name w:val="批注主题 字符"/>
    <w:basedOn w:val="34"/>
    <w:link w:val="10"/>
    <w:semiHidden/>
    <w:qFormat/>
    <w:uiPriority w:val="0"/>
    <w:rPr>
      <w:rFonts w:asciiTheme="minorHAnsi" w:hAnsiTheme="minorHAnsi" w:eastAsiaTheme="minorEastAsia" w:cstheme="minorBidi"/>
      <w:b/>
      <w:bCs/>
      <w:kern w:val="2"/>
      <w:sz w:val="21"/>
      <w:szCs w:val="24"/>
    </w:rPr>
  </w:style>
  <w:style w:type="character" w:customStyle="1" w:styleId="36">
    <w:name w:val="批注框文本 字符"/>
    <w:basedOn w:val="13"/>
    <w:link w:val="6"/>
    <w:semiHidden/>
    <w:qFormat/>
    <w:uiPriority w:val="0"/>
    <w:rPr>
      <w:rFonts w:asciiTheme="minorHAnsi" w:hAnsiTheme="minorHAnsi" w:eastAsiaTheme="minorEastAsia" w:cstheme="minorBidi"/>
      <w:kern w:val="2"/>
      <w:sz w:val="18"/>
      <w:szCs w:val="18"/>
    </w:rPr>
  </w:style>
  <w:style w:type="paragraph" w:styleId="3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51C58-2E0D-40A0-A8ED-C01B338F4D4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2633</Words>
  <Characters>2781</Characters>
  <Lines>20</Lines>
  <Paragraphs>5</Paragraphs>
  <TotalTime>145</TotalTime>
  <ScaleCrop>false</ScaleCrop>
  <LinksUpToDate>false</LinksUpToDate>
  <CharactersWithSpaces>2797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2022-01-12T07:29:00Z</dcterms:created>
  <dc:creator>Administrator</dc:creator>
  <cp:lastModifiedBy>燕</cp:lastModifiedBy>
  <cp:lastPrinted>2021-12-09T07:52:00Z</cp:lastPrinted>
  <dcterms:modified xsi:type="dcterms:W3CDTF">2024-11-19T14:21:05Z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19CE6C4B7F8A43C7981FA066754F118C</vt:lpwstr>
  </property>
</Properties>
</file>