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703C">
      <w:pPr>
        <w:spacing w:line="400" w:lineRule="exact"/>
        <w:rPr>
          <w:rFonts w:hint="eastAsia" w:ascii="宋体" w:hAnsi="宋体"/>
          <w:b/>
          <w:sz w:val="28"/>
          <w:szCs w:val="28"/>
        </w:rPr>
      </w:pPr>
      <w:r>
        <w:rPr>
          <w:rFonts w:hint="eastAsia" w:ascii="宋体" w:hAnsi="宋体"/>
          <w:b/>
          <w:sz w:val="28"/>
          <w:szCs w:val="28"/>
        </w:rPr>
        <w:t>附件3</w:t>
      </w:r>
    </w:p>
    <w:p w14:paraId="33308E88">
      <w:pPr>
        <w:spacing w:line="400" w:lineRule="exact"/>
        <w:jc w:val="center"/>
        <w:rPr>
          <w:rFonts w:hint="eastAsia" w:ascii="宋体" w:hAnsi="宋体"/>
          <w:b/>
          <w:sz w:val="28"/>
          <w:szCs w:val="28"/>
        </w:rPr>
      </w:pPr>
      <w:r>
        <w:rPr>
          <w:rFonts w:hint="eastAsia" w:ascii="宋体" w:hAnsi="宋体"/>
          <w:b/>
          <w:sz w:val="28"/>
          <w:szCs w:val="28"/>
        </w:rPr>
        <w:t>采购需求</w:t>
      </w:r>
      <w:bookmarkStart w:id="2" w:name="_GoBack"/>
      <w:bookmarkEnd w:id="2"/>
    </w:p>
    <w:tbl>
      <w:tblPr>
        <w:tblStyle w:val="16"/>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99"/>
        <w:gridCol w:w="1013"/>
        <w:gridCol w:w="882"/>
        <w:gridCol w:w="5302"/>
      </w:tblGrid>
      <w:tr w14:paraId="5DFD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68D8BDFD">
            <w:pPr>
              <w:spacing w:line="360" w:lineRule="auto"/>
              <w:jc w:val="left"/>
              <w:rPr>
                <w:rFonts w:hint="eastAsia" w:ascii="宋体" w:hAnsi="宋体"/>
                <w:b/>
                <w:szCs w:val="21"/>
              </w:rPr>
            </w:pPr>
            <w:r>
              <w:rPr>
                <w:rFonts w:hint="eastAsia" w:ascii="宋体" w:hAnsi="宋体"/>
                <w:b/>
                <w:szCs w:val="21"/>
              </w:rPr>
              <w:t>一、物品参数需求</w:t>
            </w:r>
          </w:p>
        </w:tc>
      </w:tr>
      <w:tr w14:paraId="27DE3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EDD0C70">
            <w:pPr>
              <w:spacing w:line="360" w:lineRule="auto"/>
              <w:jc w:val="center"/>
              <w:rPr>
                <w:rFonts w:hint="eastAsia" w:ascii="宋体" w:hAnsi="宋体"/>
                <w:b/>
                <w:szCs w:val="21"/>
              </w:rPr>
            </w:pPr>
            <w:r>
              <w:rPr>
                <w:rFonts w:hint="eastAsia" w:ascii="宋体" w:hAnsi="宋体"/>
                <w:b/>
                <w:szCs w:val="21"/>
              </w:rPr>
              <w:t>序号</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613305B8">
            <w:pPr>
              <w:spacing w:line="360" w:lineRule="auto"/>
              <w:jc w:val="center"/>
              <w:rPr>
                <w:rFonts w:hint="eastAsia" w:ascii="宋体" w:hAnsi="宋体"/>
                <w:b/>
                <w:szCs w:val="21"/>
              </w:rPr>
            </w:pPr>
            <w:r>
              <w:rPr>
                <w:rFonts w:hint="eastAsia" w:ascii="宋体" w:hAnsi="宋体"/>
                <w:b/>
                <w:szCs w:val="21"/>
              </w:rPr>
              <w:t>采购物品名称</w:t>
            </w:r>
          </w:p>
        </w:tc>
        <w:tc>
          <w:tcPr>
            <w:tcW w:w="1013" w:type="dxa"/>
            <w:tcBorders>
              <w:top w:val="single" w:color="auto" w:sz="4" w:space="0"/>
              <w:left w:val="single" w:color="auto" w:sz="4" w:space="0"/>
              <w:bottom w:val="single" w:color="auto" w:sz="4" w:space="0"/>
              <w:right w:val="single" w:color="auto" w:sz="4" w:space="0"/>
            </w:tcBorders>
            <w:vAlign w:val="center"/>
          </w:tcPr>
          <w:p w14:paraId="7D6F464C">
            <w:pPr>
              <w:spacing w:line="360" w:lineRule="auto"/>
              <w:jc w:val="center"/>
              <w:rPr>
                <w:rFonts w:hint="eastAsia" w:ascii="宋体" w:hAnsi="宋体"/>
                <w:b/>
                <w:szCs w:val="21"/>
              </w:rPr>
            </w:pPr>
            <w:r>
              <w:rPr>
                <w:rFonts w:hint="eastAsia" w:ascii="宋体" w:hAnsi="宋体"/>
                <w:b/>
                <w:szCs w:val="21"/>
              </w:rPr>
              <w:t>品牌</w:t>
            </w:r>
          </w:p>
        </w:tc>
        <w:tc>
          <w:tcPr>
            <w:tcW w:w="882" w:type="dxa"/>
            <w:tcBorders>
              <w:top w:val="single" w:color="auto" w:sz="4" w:space="0"/>
              <w:left w:val="single" w:color="auto" w:sz="4" w:space="0"/>
              <w:bottom w:val="single" w:color="auto" w:sz="4" w:space="0"/>
              <w:right w:val="single" w:color="auto" w:sz="4" w:space="0"/>
            </w:tcBorders>
            <w:vAlign w:val="center"/>
          </w:tcPr>
          <w:p w14:paraId="30E8C560">
            <w:pPr>
              <w:spacing w:line="360" w:lineRule="auto"/>
              <w:jc w:val="center"/>
              <w:rPr>
                <w:rFonts w:hint="eastAsia" w:ascii="宋体" w:hAnsi="宋体"/>
                <w:b/>
                <w:szCs w:val="21"/>
              </w:rPr>
            </w:pPr>
            <w:r>
              <w:rPr>
                <w:rFonts w:hint="eastAsia" w:ascii="宋体" w:hAnsi="宋体"/>
                <w:b/>
                <w:szCs w:val="21"/>
              </w:rPr>
              <w:t>数量</w:t>
            </w:r>
          </w:p>
          <w:p w14:paraId="6CE8BFC6">
            <w:pPr>
              <w:spacing w:line="360" w:lineRule="auto"/>
              <w:jc w:val="center"/>
              <w:rPr>
                <w:rFonts w:hint="eastAsia" w:ascii="宋体" w:hAnsi="宋体"/>
                <w:b/>
                <w:szCs w:val="21"/>
              </w:rPr>
            </w:pPr>
            <w:r>
              <w:rPr>
                <w:rFonts w:hint="eastAsia" w:ascii="宋体" w:hAnsi="宋体"/>
                <w:b/>
                <w:szCs w:val="21"/>
              </w:rPr>
              <w:t>单位</w:t>
            </w:r>
          </w:p>
        </w:tc>
        <w:tc>
          <w:tcPr>
            <w:tcW w:w="5302" w:type="dxa"/>
            <w:tcBorders>
              <w:top w:val="single" w:color="auto" w:sz="4" w:space="0"/>
              <w:left w:val="single" w:color="auto" w:sz="4" w:space="0"/>
              <w:bottom w:val="single" w:color="auto" w:sz="4" w:space="0"/>
              <w:right w:val="single" w:color="auto" w:sz="4" w:space="0"/>
            </w:tcBorders>
            <w:vAlign w:val="center"/>
          </w:tcPr>
          <w:p w14:paraId="38120F35">
            <w:pPr>
              <w:spacing w:line="360" w:lineRule="auto"/>
              <w:jc w:val="center"/>
              <w:rPr>
                <w:rFonts w:hint="eastAsia" w:ascii="宋体" w:hAnsi="宋体"/>
                <w:b/>
                <w:szCs w:val="21"/>
              </w:rPr>
            </w:pPr>
            <w:r>
              <w:rPr>
                <w:rFonts w:hint="eastAsia" w:ascii="宋体" w:hAnsi="宋体"/>
                <w:b/>
                <w:szCs w:val="21"/>
              </w:rPr>
              <w:t>项目要求及物品参数需求</w:t>
            </w:r>
          </w:p>
        </w:tc>
      </w:tr>
      <w:tr w14:paraId="54269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3D2F276">
            <w:pPr>
              <w:spacing w:line="360" w:lineRule="auto"/>
              <w:jc w:val="center"/>
              <w:rPr>
                <w:rFonts w:hint="eastAsia" w:ascii="宋体" w:hAnsi="宋体"/>
                <w:szCs w:val="21"/>
              </w:rPr>
            </w:pPr>
            <w:r>
              <w:rPr>
                <w:rFonts w:hint="eastAsia" w:ascii="宋体" w:hAnsi="宋体"/>
                <w:szCs w:val="21"/>
              </w:rPr>
              <w:t>1</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EAC6778">
            <w:pPr>
              <w:autoSpaceDE w:val="0"/>
              <w:autoSpaceDN w:val="0"/>
              <w:adjustRightInd w:val="0"/>
              <w:spacing w:line="360" w:lineRule="auto"/>
              <w:jc w:val="both"/>
              <w:rPr>
                <w:rFonts w:hint="eastAsia" w:ascii="宋体" w:hAnsi="宋体" w:cs="宋体"/>
                <w:kern w:val="0"/>
                <w:szCs w:val="21"/>
              </w:rPr>
            </w:pPr>
            <w:r>
              <w:rPr>
                <w:rFonts w:hint="eastAsia" w:ascii="宋体" w:hAnsi="宋体" w:eastAsia="宋体" w:cs="宋体"/>
                <w:color w:val="auto"/>
                <w:kern w:val="0"/>
                <w:sz w:val="20"/>
                <w:szCs w:val="20"/>
                <w:highlight w:val="none"/>
                <w:lang w:val="en-US" w:eastAsia="zh-CN"/>
              </w:rPr>
              <w:t>课程宣传片</w:t>
            </w:r>
          </w:p>
        </w:tc>
        <w:tc>
          <w:tcPr>
            <w:tcW w:w="1013" w:type="dxa"/>
            <w:tcBorders>
              <w:top w:val="single" w:color="auto" w:sz="4" w:space="0"/>
              <w:left w:val="single" w:color="auto" w:sz="4" w:space="0"/>
              <w:bottom w:val="single" w:color="auto" w:sz="4" w:space="0"/>
              <w:right w:val="single" w:color="auto" w:sz="4" w:space="0"/>
            </w:tcBorders>
            <w:vAlign w:val="center"/>
          </w:tcPr>
          <w:p w14:paraId="2E9E9768">
            <w:pPr>
              <w:pStyle w:val="2"/>
              <w:ind w:left="0" w:leftChars="0" w:firstLine="0" w:firstLineChars="0"/>
              <w:rPr>
                <w:rFonts w:hint="default"/>
                <w:lang w:val="en-US" w:eastAsia="zh-CN"/>
              </w:rPr>
            </w:pPr>
          </w:p>
        </w:tc>
        <w:tc>
          <w:tcPr>
            <w:tcW w:w="882" w:type="dxa"/>
            <w:tcBorders>
              <w:top w:val="single" w:color="auto" w:sz="4" w:space="0"/>
              <w:left w:val="single" w:color="auto" w:sz="4" w:space="0"/>
              <w:bottom w:val="single" w:color="auto" w:sz="4" w:space="0"/>
              <w:right w:val="single" w:color="auto" w:sz="4" w:space="0"/>
            </w:tcBorders>
            <w:vAlign w:val="center"/>
          </w:tcPr>
          <w:p w14:paraId="3CB33263">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2套</w:t>
            </w:r>
          </w:p>
        </w:tc>
        <w:tc>
          <w:tcPr>
            <w:tcW w:w="5302" w:type="dxa"/>
            <w:tcBorders>
              <w:top w:val="single" w:color="auto" w:sz="4" w:space="0"/>
              <w:left w:val="single" w:color="auto" w:sz="4" w:space="0"/>
              <w:bottom w:val="single" w:color="auto" w:sz="4" w:space="0"/>
              <w:right w:val="single" w:color="auto" w:sz="4" w:space="0"/>
            </w:tcBorders>
            <w:vAlign w:val="center"/>
          </w:tcPr>
          <w:p w14:paraId="42F01737">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制作</w:t>
            </w:r>
            <w:r>
              <w:rPr>
                <w:rFonts w:hint="eastAsia" w:ascii="宋体" w:hAnsi="宋体" w:eastAsia="宋体" w:cs="宋体"/>
                <w:color w:val="auto"/>
                <w:sz w:val="20"/>
                <w:szCs w:val="20"/>
                <w:highlight w:val="none"/>
                <w:lang w:val="en-US" w:eastAsia="zh-CN"/>
              </w:rPr>
              <w:t>2门</w:t>
            </w:r>
            <w:r>
              <w:rPr>
                <w:rFonts w:hint="eastAsia" w:ascii="宋体" w:hAnsi="宋体" w:eastAsia="宋体" w:cs="宋体"/>
                <w:color w:val="auto"/>
                <w:sz w:val="20"/>
                <w:szCs w:val="20"/>
                <w:highlight w:val="none"/>
              </w:rPr>
              <w:t>课程</w:t>
            </w:r>
            <w:r>
              <w:rPr>
                <w:rFonts w:hint="eastAsia" w:ascii="宋体" w:hAnsi="宋体" w:eastAsia="宋体" w:cs="宋体"/>
                <w:color w:val="auto"/>
                <w:sz w:val="20"/>
                <w:szCs w:val="20"/>
                <w:highlight w:val="none"/>
                <w:lang w:val="en-US" w:eastAsia="zh-CN"/>
              </w:rPr>
              <w:t>宣传片</w:t>
            </w:r>
            <w:r>
              <w:rPr>
                <w:rFonts w:hint="eastAsia" w:ascii="宋体" w:hAnsi="宋体" w:eastAsia="宋体" w:cs="宋体"/>
                <w:color w:val="auto"/>
                <w:sz w:val="20"/>
                <w:szCs w:val="20"/>
                <w:highlight w:val="none"/>
              </w:rPr>
              <w:t>。</w:t>
            </w:r>
          </w:p>
          <w:p w14:paraId="752DF8C0">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课程宣传片需</w:t>
            </w:r>
            <w:r>
              <w:rPr>
                <w:rFonts w:hint="eastAsia" w:ascii="宋体" w:hAnsi="宋体" w:eastAsia="宋体" w:cs="宋体"/>
                <w:color w:val="auto"/>
                <w:sz w:val="20"/>
                <w:szCs w:val="20"/>
                <w:highlight w:val="none"/>
              </w:rPr>
              <w:t>包含学校LOGO、课程名称、教师团队介绍、主讲教师姓名、专业技术职务、单位、教学目标、内容简介、课程特色等信息（1-3分钟）。</w:t>
            </w:r>
          </w:p>
          <w:p w14:paraId="1A980F8F">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 xml:space="preserve">视频压缩格式：包含字幕的MP4格式，视频码流率：1024Kbps -2500Kbps。 </w:t>
            </w:r>
          </w:p>
          <w:p w14:paraId="1CA55380">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视频分辨率：同一门课程各节视频的视频分辨率必须统一，统一采用高清16:9拍摄，设定为1920×1080视频画幅宽高比，视频统一片头和片尾。</w:t>
            </w:r>
          </w:p>
          <w:p w14:paraId="7A8E647C">
            <w:pPr>
              <w:keepNext w:val="0"/>
              <w:keepLines w:val="0"/>
              <w:pageBreakBefore w:val="0"/>
              <w:widowControl w:val="0"/>
              <w:kinsoku/>
              <w:wordWrap/>
              <w:overflowPunct/>
              <w:topLinePunct w:val="0"/>
              <w:autoSpaceDE w:val="0"/>
              <w:autoSpaceDN w:val="0"/>
              <w:bidi w:val="0"/>
              <w:adjustRightInd w:val="0"/>
              <w:snapToGrid/>
              <w:spacing w:after="0" w:line="340" w:lineRule="exact"/>
              <w:jc w:val="left"/>
              <w:textAlignment w:val="auto"/>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转场过渡顺畅自然，动画流畅，无明显抖动，风格、基调与脚本要求一致。</w:t>
            </w:r>
          </w:p>
        </w:tc>
      </w:tr>
      <w:tr w14:paraId="0531B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759DE9A">
            <w:pPr>
              <w:tabs>
                <w:tab w:val="left" w:pos="290"/>
              </w:tabs>
              <w:spacing w:line="360" w:lineRule="auto"/>
              <w:jc w:val="left"/>
              <w:rPr>
                <w:rFonts w:hint="eastAsia" w:ascii="宋体" w:hAnsi="宋体"/>
                <w:szCs w:val="21"/>
              </w:rPr>
            </w:pPr>
            <w:r>
              <w:rPr>
                <w:rFonts w:hint="eastAsia" w:ascii="宋体" w:hAnsi="宋体"/>
                <w:szCs w:val="21"/>
              </w:rPr>
              <w:tab/>
            </w:r>
            <w:r>
              <w:rPr>
                <w:rFonts w:hint="eastAsia" w:ascii="宋体" w:hAnsi="宋体"/>
                <w:szCs w:val="21"/>
              </w:rPr>
              <w:t>2</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DBDB4C0">
            <w:pPr>
              <w:autoSpaceDE w:val="0"/>
              <w:autoSpaceDN w:val="0"/>
              <w:adjustRightInd w:val="0"/>
              <w:spacing w:line="360" w:lineRule="auto"/>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在线精品课程教学视频拍摄制作</w:t>
            </w:r>
          </w:p>
        </w:tc>
        <w:tc>
          <w:tcPr>
            <w:tcW w:w="1013" w:type="dxa"/>
            <w:tcBorders>
              <w:top w:val="single" w:color="auto" w:sz="4" w:space="0"/>
              <w:left w:val="single" w:color="auto" w:sz="4" w:space="0"/>
              <w:bottom w:val="single" w:color="auto" w:sz="4" w:space="0"/>
              <w:right w:val="single" w:color="auto" w:sz="4" w:space="0"/>
            </w:tcBorders>
            <w:vAlign w:val="center"/>
          </w:tcPr>
          <w:p w14:paraId="5F3B77DA">
            <w:pPr>
              <w:spacing w:line="360" w:lineRule="auto"/>
              <w:jc w:val="center"/>
              <w:rPr>
                <w:rFonts w:hint="eastAsia" w:ascii="宋体" w:hAnsi="宋体" w:eastAsia="宋体" w:cs="宋体"/>
                <w:color w:val="000000"/>
                <w:kern w:val="0"/>
                <w:szCs w:val="21"/>
                <w:lang w:val="en-US" w:eastAsia="zh-CN" w:bidi="ar"/>
              </w:rPr>
            </w:pPr>
          </w:p>
        </w:tc>
        <w:tc>
          <w:tcPr>
            <w:tcW w:w="882" w:type="dxa"/>
            <w:tcBorders>
              <w:top w:val="single" w:color="auto" w:sz="4" w:space="0"/>
              <w:left w:val="single" w:color="auto" w:sz="4" w:space="0"/>
              <w:bottom w:val="single" w:color="auto" w:sz="4" w:space="0"/>
              <w:right w:val="single" w:color="auto" w:sz="4" w:space="0"/>
            </w:tcBorders>
            <w:vAlign w:val="center"/>
          </w:tcPr>
          <w:p w14:paraId="3EC5FABB">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300分钟</w:t>
            </w:r>
          </w:p>
        </w:tc>
        <w:tc>
          <w:tcPr>
            <w:tcW w:w="5302" w:type="dxa"/>
            <w:tcBorders>
              <w:top w:val="single" w:color="auto" w:sz="4" w:space="0"/>
              <w:left w:val="single" w:color="auto" w:sz="4" w:space="0"/>
              <w:bottom w:val="single" w:color="auto" w:sz="4" w:space="0"/>
              <w:right w:val="single" w:color="auto" w:sz="4" w:space="0"/>
            </w:tcBorders>
            <w:vAlign w:val="center"/>
          </w:tcPr>
          <w:p w14:paraId="6A13C36C">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一、基本要求</w:t>
            </w:r>
          </w:p>
          <w:p w14:paraId="4949BF81">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kern w:val="0"/>
                <w:sz w:val="20"/>
                <w:szCs w:val="20"/>
                <w:highlight w:val="none"/>
              </w:rPr>
              <w:t>1</w:t>
            </w:r>
            <w:r>
              <w:rPr>
                <w:rFonts w:hint="eastAsia" w:ascii="宋体" w:hAnsi="宋体" w:eastAsia="宋体" w:cs="宋体"/>
                <w:b w:val="0"/>
                <w:bCs w:val="0"/>
                <w:color w:val="auto"/>
                <w:kern w:val="0"/>
                <w:sz w:val="20"/>
                <w:szCs w:val="20"/>
                <w:highlight w:val="none"/>
                <w:lang w:val="en-US" w:eastAsia="zh-CN"/>
              </w:rPr>
              <w:t>.视频</w:t>
            </w:r>
            <w:r>
              <w:rPr>
                <w:rFonts w:hint="eastAsia" w:ascii="宋体" w:hAnsi="宋体" w:eastAsia="宋体" w:cs="宋体"/>
                <w:b w:val="0"/>
                <w:bCs w:val="0"/>
                <w:color w:val="auto"/>
                <w:kern w:val="0"/>
                <w:sz w:val="20"/>
                <w:szCs w:val="20"/>
                <w:highlight w:val="none"/>
              </w:rPr>
              <w:t>数量：</w:t>
            </w:r>
            <w:r>
              <w:rPr>
                <w:rFonts w:hint="eastAsia" w:ascii="宋体" w:hAnsi="宋体" w:eastAsia="宋体" w:cs="宋体"/>
                <w:b w:val="0"/>
                <w:bCs w:val="0"/>
                <w:color w:val="auto"/>
                <w:sz w:val="20"/>
                <w:szCs w:val="20"/>
                <w:highlight w:val="none"/>
                <w:lang w:val="en-US" w:eastAsia="zh-CN"/>
              </w:rPr>
              <w:t>每门课程视频18～22个（5-10分钟/个），总时长150分钟，其中每个视频加入15～40秒以内的动画元素，以增加课程视频的趣味性和欣赏性，动画形式包括：MG动画、二维动画等。</w:t>
            </w:r>
          </w:p>
          <w:p w14:paraId="57D4782E">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i w:val="0"/>
                <w:iCs w:val="0"/>
                <w:color w:val="000000"/>
                <w:kern w:val="0"/>
                <w:sz w:val="20"/>
                <w:szCs w:val="20"/>
                <w:highlight w:val="none"/>
                <w:u w:val="none"/>
                <w:shd w:val="clear"/>
                <w:lang w:val="en-US" w:eastAsia="zh-CN" w:bidi="ar"/>
              </w:rPr>
            </w:pPr>
            <w:r>
              <w:rPr>
                <w:rFonts w:hint="eastAsia" w:ascii="宋体" w:hAnsi="宋体" w:eastAsia="宋体" w:cs="宋体"/>
                <w:b w:val="0"/>
                <w:bCs w:val="0"/>
                <w:color w:val="auto"/>
                <w:kern w:val="0"/>
                <w:sz w:val="20"/>
                <w:szCs w:val="20"/>
                <w:highlight w:val="none"/>
                <w:lang w:val="en-US" w:eastAsia="zh-CN"/>
              </w:rPr>
              <w:t>2.</w:t>
            </w:r>
            <w:r>
              <w:rPr>
                <w:rFonts w:hint="eastAsia" w:ascii="宋体" w:hAnsi="宋体" w:eastAsia="宋体" w:cs="宋体"/>
                <w:b w:val="0"/>
                <w:bCs w:val="0"/>
                <w:color w:val="auto"/>
                <w:kern w:val="0"/>
                <w:sz w:val="20"/>
                <w:szCs w:val="20"/>
                <w:highlight w:val="none"/>
              </w:rPr>
              <w:t>课程名称：</w:t>
            </w:r>
            <w:bookmarkStart w:id="0" w:name="OLE_LINK1"/>
            <w:r>
              <w:rPr>
                <w:rFonts w:hint="eastAsia" w:ascii="宋体" w:hAnsi="宋体" w:eastAsia="宋体" w:cs="宋体"/>
                <w:b w:val="0"/>
                <w:bCs w:val="0"/>
                <w:i w:val="0"/>
                <w:iCs w:val="0"/>
                <w:color w:val="000000"/>
                <w:kern w:val="0"/>
                <w:sz w:val="20"/>
                <w:szCs w:val="20"/>
                <w:highlight w:val="none"/>
                <w:u w:val="none"/>
                <w:shd w:val="clear"/>
                <w:lang w:val="en-US" w:eastAsia="zh-CN" w:bidi="ar"/>
              </w:rPr>
              <w:t>《实用老年照护技术》《老年人安宁疗护》</w:t>
            </w:r>
            <w:bookmarkEnd w:id="0"/>
            <w:r>
              <w:rPr>
                <w:rFonts w:hint="eastAsia" w:ascii="宋体" w:hAnsi="宋体" w:eastAsia="宋体" w:cs="宋体"/>
                <w:b w:val="0"/>
                <w:bCs w:val="0"/>
                <w:i w:val="0"/>
                <w:iCs w:val="0"/>
                <w:color w:val="000000"/>
                <w:kern w:val="0"/>
                <w:sz w:val="20"/>
                <w:szCs w:val="20"/>
                <w:highlight w:val="none"/>
                <w:u w:val="none"/>
                <w:shd w:val="clear"/>
                <w:lang w:val="en-US" w:eastAsia="zh-CN" w:bidi="ar"/>
              </w:rPr>
              <w:t>。</w:t>
            </w:r>
          </w:p>
          <w:p w14:paraId="571163CF">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3.拍摄：含拍摄设备费、道具购买及制作费、人工费等</w:t>
            </w:r>
            <w:r>
              <w:rPr>
                <w:rFonts w:hint="eastAsia" w:ascii="宋体" w:hAnsi="宋体" w:eastAsia="宋体" w:cs="宋体"/>
                <w:b w:val="0"/>
                <w:bCs w:val="0"/>
                <w:color w:val="auto"/>
                <w:sz w:val="20"/>
                <w:szCs w:val="20"/>
                <w:highlight w:val="none"/>
                <w:lang w:eastAsia="zh-CN"/>
              </w:rPr>
              <w:t>。</w:t>
            </w:r>
          </w:p>
          <w:p w14:paraId="4331623B">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视频优化：含PPT美化、配音、配乐、抠图、调色、格式转换、音效</w:t>
            </w:r>
            <w:r>
              <w:rPr>
                <w:rFonts w:hint="eastAsia" w:ascii="宋体" w:hAnsi="宋体" w:eastAsia="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rPr>
              <w:t>特效、课程页面编辑等</w:t>
            </w:r>
            <w:r>
              <w:rPr>
                <w:rFonts w:hint="eastAsia" w:ascii="宋体" w:hAnsi="宋体" w:eastAsia="宋体" w:cs="宋体"/>
                <w:b w:val="0"/>
                <w:bCs w:val="0"/>
                <w:color w:val="auto"/>
                <w:sz w:val="20"/>
                <w:szCs w:val="20"/>
                <w:highlight w:val="none"/>
                <w:lang w:eastAsia="zh-CN"/>
              </w:rPr>
              <w:t>。</w:t>
            </w:r>
          </w:p>
          <w:p w14:paraId="5384D280">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现场布景：现场布景</w:t>
            </w:r>
            <w:r>
              <w:rPr>
                <w:rFonts w:hint="eastAsia" w:ascii="宋体" w:hAnsi="宋体" w:eastAsia="宋体" w:cs="宋体"/>
                <w:b w:val="0"/>
                <w:bCs w:val="0"/>
                <w:color w:val="auto"/>
                <w:sz w:val="20"/>
                <w:szCs w:val="20"/>
                <w:highlight w:val="none"/>
                <w:lang w:eastAsia="zh-CN"/>
              </w:rPr>
              <w:t>。</w:t>
            </w:r>
          </w:p>
          <w:p w14:paraId="38E53617">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6.</w:t>
            </w:r>
            <w:r>
              <w:rPr>
                <w:rFonts w:hint="eastAsia" w:ascii="宋体" w:hAnsi="宋体" w:eastAsia="宋体" w:cs="宋体"/>
                <w:b w:val="0"/>
                <w:bCs w:val="0"/>
                <w:color w:val="auto"/>
                <w:sz w:val="20"/>
                <w:szCs w:val="20"/>
                <w:highlight w:val="none"/>
              </w:rPr>
              <w:t>字幕制作：字幕制作、校队</w:t>
            </w:r>
            <w:r>
              <w:rPr>
                <w:rFonts w:hint="eastAsia" w:ascii="宋体" w:hAnsi="宋体" w:eastAsia="宋体" w:cs="宋体"/>
                <w:b w:val="0"/>
                <w:bCs w:val="0"/>
                <w:color w:val="auto"/>
                <w:sz w:val="20"/>
                <w:szCs w:val="20"/>
                <w:highlight w:val="none"/>
                <w:lang w:eastAsia="zh-CN"/>
              </w:rPr>
              <w:t>。</w:t>
            </w:r>
          </w:p>
          <w:p w14:paraId="287C542F">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b w:val="0"/>
                <w:bCs w:val="0"/>
                <w:color w:val="auto"/>
                <w:kern w:val="0"/>
                <w:sz w:val="20"/>
                <w:szCs w:val="20"/>
                <w:highlight w:val="none"/>
                <w:lang w:val="en-US" w:eastAsia="zh-CN"/>
              </w:rPr>
              <w:t>7.</w:t>
            </w:r>
            <w:r>
              <w:rPr>
                <w:rFonts w:hint="eastAsia" w:ascii="宋体" w:hAnsi="宋体" w:eastAsia="宋体" w:cs="宋体"/>
                <w:b w:val="0"/>
                <w:bCs w:val="0"/>
                <w:color w:val="auto"/>
                <w:kern w:val="0"/>
                <w:sz w:val="20"/>
                <w:szCs w:val="20"/>
                <w:highlight w:val="none"/>
              </w:rPr>
              <w:t>课程开发服务标准</w:t>
            </w:r>
            <w:r>
              <w:rPr>
                <w:rFonts w:hint="eastAsia" w:ascii="宋体" w:hAnsi="宋体" w:eastAsia="宋体" w:cs="宋体"/>
                <w:b w:val="0"/>
                <w:bCs w:val="0"/>
                <w:color w:val="auto"/>
                <w:kern w:val="0"/>
                <w:sz w:val="20"/>
                <w:szCs w:val="20"/>
                <w:highlight w:val="none"/>
                <w:lang w:eastAsia="zh-CN"/>
              </w:rPr>
              <w:t>：</w:t>
            </w:r>
            <w:r>
              <w:rPr>
                <w:rFonts w:hint="eastAsia" w:ascii="宋体" w:hAnsi="宋体" w:eastAsia="宋体" w:cs="宋体"/>
                <w:color w:val="auto"/>
                <w:sz w:val="20"/>
                <w:szCs w:val="20"/>
                <w:highlight w:val="none"/>
                <w:lang w:val="en-US" w:eastAsia="zh-CN"/>
              </w:rPr>
              <w:t>以国家级精品在线开放课程标准要求--《关于开展2023年职业教育国家在线精品课程遴选工作的通知》为导向</w:t>
            </w:r>
            <w:r>
              <w:rPr>
                <w:rFonts w:hint="eastAsia" w:ascii="宋体" w:hAnsi="宋体" w:eastAsia="宋体" w:cs="宋体"/>
                <w:color w:val="auto"/>
                <w:sz w:val="20"/>
                <w:szCs w:val="20"/>
                <w:highlight w:val="none"/>
              </w:rPr>
              <w:t>。</w:t>
            </w:r>
          </w:p>
          <w:p w14:paraId="58D3FE51">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二、技术要求</w:t>
            </w:r>
          </w:p>
          <w:p w14:paraId="331D905D">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1.知识点设计：根据课程的内容，知识点应涵盖整门课程章节，可以以知识讲解、练习、实训操作、真实案例模拟训练等模块进行呈现。</w:t>
            </w:r>
          </w:p>
          <w:p w14:paraId="421167BE">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2.拍摄模式要求：</w:t>
            </w:r>
            <w:r>
              <w:rPr>
                <w:rFonts w:hint="eastAsia" w:ascii="宋体" w:hAnsi="宋体" w:eastAsia="宋体" w:cs="宋体"/>
                <w:b w:val="0"/>
                <w:bCs w:val="0"/>
                <w:color w:val="auto"/>
                <w:sz w:val="20"/>
                <w:szCs w:val="20"/>
                <w:highlight w:val="none"/>
                <w:lang w:val="en-US" w:eastAsia="zh-CN"/>
              </w:rPr>
              <w:t>根据</w:t>
            </w:r>
            <w:r>
              <w:rPr>
                <w:rFonts w:hint="eastAsia" w:ascii="宋体" w:hAnsi="宋体" w:eastAsia="宋体" w:cs="宋体"/>
                <w:b w:val="0"/>
                <w:bCs w:val="0"/>
                <w:color w:val="auto"/>
                <w:sz w:val="20"/>
                <w:szCs w:val="20"/>
                <w:highlight w:val="none"/>
                <w:lang w:val="en-US" w:eastAsia="zh-CN"/>
              </w:rPr>
              <w:t>课程性质，课程拍摄团队与教师一起确定课程最合理拍摄方式，提供不少于9种的课件拍摄制作类型可供老师选择，如访谈交流类、特效包装类、虚拟抠像类、实景拍摄类、场景实操类、实验实操类、动画类、动态课件类、游戏操作类等。</w:t>
            </w:r>
          </w:p>
          <w:p w14:paraId="6C0AC1D2">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3.课程拍摄场地：</w:t>
            </w:r>
            <w:r>
              <w:rPr>
                <w:rFonts w:hint="eastAsia" w:ascii="宋体" w:hAnsi="宋体" w:eastAsia="宋体" w:cs="宋体"/>
                <w:b w:val="0"/>
                <w:bCs w:val="0"/>
                <w:color w:val="auto"/>
                <w:sz w:val="20"/>
                <w:szCs w:val="20"/>
                <w:highlight w:val="none"/>
                <w:lang w:val="en-US" w:eastAsia="zh-CN"/>
              </w:rPr>
              <w:t>视频录制场地为教室、演播室、实训室及外景实景等地点。</w:t>
            </w:r>
          </w:p>
          <w:p w14:paraId="62824AD4">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4.视频制作参数</w:t>
            </w:r>
          </w:p>
          <w:p w14:paraId="664B0CC1">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4.1视频信号源</w:t>
            </w:r>
          </w:p>
          <w:p w14:paraId="09B7E4B1">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稳定性:全片图像同步性能稳定，不存在失帧现象，CTL 同步控制信号必须连续，图像无抖动跳跃，色彩无突变，编辑点处图像稳定。</w:t>
            </w:r>
          </w:p>
          <w:p w14:paraId="16E08567">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信噪比:图像信噪比不低于55dB，无明显杂波。</w:t>
            </w:r>
          </w:p>
          <w:p w14:paraId="6E30E29B">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色调:白平衡正确，无明显偏色，多机拍摄的镜头衔接处无明显色差。</w:t>
            </w:r>
          </w:p>
          <w:p w14:paraId="4820E423">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视频电平:视频全讯号幅度为1Vp-p，最大不超过11Vp-p。其中，消隐电平为OV时，白电平幅度0.7Vp-p同步信号03Vp-p，色同步信号幅度03Vp-p(以消隐线上下对称)，全片一致。</w:t>
            </w:r>
          </w:p>
          <w:p w14:paraId="4FBD7F2F">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4.2颜色数</w:t>
            </w:r>
          </w:p>
          <w:p w14:paraId="1F83C17A">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视频类素材每帧图像颜色数不低于256色或灰度级不低于128 级。</w:t>
            </w:r>
          </w:p>
          <w:p w14:paraId="6E3A8F1B">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4.3视频处理</w:t>
            </w:r>
          </w:p>
          <w:p w14:paraId="20DF0FA0">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格式编码：视频压缩采用H.264格式编码。</w:t>
            </w:r>
          </w:p>
          <w:p w14:paraId="6F3104DF">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视频帧率:25帧/秒、逐行扫描。</w:t>
            </w:r>
          </w:p>
          <w:p w14:paraId="772FFF57">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视频比例:16:9。</w:t>
            </w:r>
          </w:p>
          <w:p w14:paraId="2CBBD9F4">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视频分辨率：分辨率1920*1080。</w:t>
            </w:r>
          </w:p>
          <w:p w14:paraId="42EFFF42">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视频格式:mp4格式。</w:t>
            </w:r>
          </w:p>
          <w:p w14:paraId="21524035">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视频码率:码率为1024----2000Kbps。</w:t>
            </w:r>
          </w:p>
          <w:p w14:paraId="134BB18E">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音频格式:音频压缩采用AAC(MPEG4 Part3)格式。</w:t>
            </w:r>
          </w:p>
          <w:p w14:paraId="2DF895AB">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音频采样率:采样率48KHz，量化位数至少16位0。</w:t>
            </w:r>
          </w:p>
          <w:p w14:paraId="36BCC393">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音频类型:音乐类、音效声、语音等。</w:t>
            </w:r>
          </w:p>
          <w:p w14:paraId="2B60EB96">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电平指标:2db-8db声音应无明显失真、放音过冲、过弱。</w:t>
            </w:r>
          </w:p>
          <w:p w14:paraId="28484A6C">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4.4音频</w:t>
            </w:r>
          </w:p>
          <w:p w14:paraId="6222BF3E">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声道:必须是双声道，输出通道为立体声，做混音处理。</w:t>
            </w:r>
          </w:p>
          <w:p w14:paraId="7D998A1E">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音频码率:音频码流率128Kbps(恒定)音频信噪比:不低于48db。</w:t>
            </w:r>
          </w:p>
          <w:p w14:paraId="0D37E9C6">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4.5声音效果</w:t>
            </w:r>
          </w:p>
          <w:p w14:paraId="5550C8E7">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声音和画面同步声音清晰，无杂音，无干扰，无破音和电流音伴音清晰、饱满、圆润，无失真、无音量忽大忽小现解说声与现场声无明显比例失调，解说声与背景音乐无明显比例失调。</w:t>
            </w:r>
          </w:p>
          <w:p w14:paraId="200BDD90">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4.6剪辑</w:t>
            </w:r>
          </w:p>
          <w:p w14:paraId="6EBE1615">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剪辑衔接自然，景别丰富、组接流畅、色彩和曝光统一，无跳帧，无跳跃感。</w:t>
            </w:r>
          </w:p>
          <w:p w14:paraId="3B0BF0D8">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4.7音频处理</w:t>
            </w:r>
          </w:p>
          <w:p w14:paraId="12085B45">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必须使用专业级话筒及音频处理设备，保证录音质量。</w:t>
            </w:r>
          </w:p>
          <w:p w14:paraId="65A9648D">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自平指标:-2db--8db声音应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p w14:paraId="34494D30">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4.8音频压缩</w:t>
            </w:r>
          </w:p>
          <w:p w14:paraId="0A548B32">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采用AAC(MPEG4 Part3)格式。采样率48KHz。音频码流率 128Kbps(恒定)。双声道。</w:t>
            </w:r>
          </w:p>
          <w:p w14:paraId="38434E3B">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4.9课程上线运行要求</w:t>
            </w:r>
          </w:p>
          <w:p w14:paraId="0C1F3F05">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制作完成的课程需上线学校指定的校内教学平台和校外开放平台运行数据。</w:t>
            </w:r>
          </w:p>
          <w:p w14:paraId="0180EC9B">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eastAsia="zh-CN"/>
              </w:rPr>
              <w:t>三</w:t>
            </w:r>
            <w:r>
              <w:rPr>
                <w:rFonts w:hint="eastAsia" w:ascii="宋体" w:hAnsi="宋体" w:eastAsia="宋体" w:cs="宋体"/>
                <w:b/>
                <w:bCs/>
                <w:color w:val="auto"/>
                <w:sz w:val="20"/>
                <w:szCs w:val="20"/>
                <w:highlight w:val="none"/>
              </w:rPr>
              <w:t>、课程制作服务要求</w:t>
            </w:r>
          </w:p>
          <w:p w14:paraId="6187C69A">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课程知识点视频制作含课程前期准备资源、策划、拍摄、后期制作、成品展示服务等。课程前期准备资源要求提供相关专业的电子图书资源供教师使用。</w:t>
            </w:r>
          </w:p>
          <w:p w14:paraId="163804CF">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必须严格按照国家课程拍摄标准及流程制作。</w:t>
            </w:r>
          </w:p>
          <w:p w14:paraId="06E8ACCD">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拟投入本项目实施团队需由经验丰富的团队承担。团队成员需包括项目经理、编导、摄像、后期制作若干人员。项目经理必须充分理解制作和运营特点，成员组成要求稳定。</w:t>
            </w:r>
          </w:p>
          <w:p w14:paraId="418244C0">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项目经理能够参与到课程规划和设计中，必须在拍摄之前与教学团队就课程脚本提案做充分沟通，必须提供相关的视频、图书等相关资源供采购人使用，为教师课程准备提供资源保障，能够为主讲教师脚本设计提供优质的展现形式，协助教师梳理知识点、收集整理相关资料。</w:t>
            </w:r>
          </w:p>
          <w:p w14:paraId="5E4B62CC">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课程制作团队完整负责课程拍摄以及后期制作（剪辑、修改、特效、包装、动画制作、录音合成、字幕），直至主讲教师审核通过。</w:t>
            </w:r>
          </w:p>
          <w:p w14:paraId="564E0B00">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制作规范要求：实现多机位拍摄。拍摄设备必须具有专业高清摄像机、影视剧拍摄相机、单反镜头、专业级摄像用灯和音频采集设备。视频剪辑制作后能够提供各种视频格式（高清、标清）及原始视频素材。</w:t>
            </w:r>
          </w:p>
          <w:p w14:paraId="1A414968">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项目建设时间自合同签订之日起算不超过12个月，以具体课程时长及双方协商确定。</w:t>
            </w:r>
          </w:p>
          <w:p w14:paraId="7204C34F">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课程内容的著作权为采购人所拥有，未经采购人允许，成交供应商不得以任何方式提供给其他任何单位或个人占有使用。</w:t>
            </w:r>
          </w:p>
          <w:p w14:paraId="3A095DA5">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售后服务期内为课程教学团队每年提供不少于2次的教师专业发展培训活动，培训内容包含课程结构的优化、教学方法的设计和教学技能的提升。</w:t>
            </w:r>
          </w:p>
          <w:p w14:paraId="7F3FF482">
            <w:pPr>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所有建设完成的课程统一管理，上线运营。平台采用视频数据本地镜像+云端双备份服务模式，可以设置课程的运营范围，本校服务、联盟服务、社会服务等。</w:t>
            </w:r>
          </w:p>
          <w:p w14:paraId="74F83995">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auto"/>
                <w:sz w:val="20"/>
                <w:szCs w:val="20"/>
                <w:highlight w:val="none"/>
              </w:rPr>
              <w:t>11</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制作的课程都必须能够在广西八桂学堂课程联盟上线运营，能与平台深度结合。</w:t>
            </w:r>
          </w:p>
        </w:tc>
      </w:tr>
      <w:tr w14:paraId="2D0F2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9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EA56B37">
            <w:pPr>
              <w:spacing w:line="360" w:lineRule="auto"/>
              <w:ind w:firstLine="455"/>
              <w:jc w:val="left"/>
              <w:rPr>
                <w:rFonts w:hint="eastAsia" w:ascii="宋体" w:hAnsi="宋体"/>
                <w:szCs w:val="21"/>
              </w:rPr>
            </w:pPr>
            <w:r>
              <w:rPr>
                <w:rFonts w:hint="eastAsia" w:ascii="宋体" w:hAnsi="宋体"/>
                <w:szCs w:val="21"/>
              </w:rPr>
              <w:t>3</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B0F09C8">
            <w:pPr>
              <w:autoSpaceDE w:val="0"/>
              <w:autoSpaceDN w:val="0"/>
              <w:adjustRightInd w:val="0"/>
              <w:spacing w:line="360" w:lineRule="auto"/>
              <w:jc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课程资源翻译</w:t>
            </w:r>
          </w:p>
        </w:tc>
        <w:tc>
          <w:tcPr>
            <w:tcW w:w="1013" w:type="dxa"/>
            <w:tcBorders>
              <w:top w:val="single" w:color="auto" w:sz="4" w:space="0"/>
              <w:left w:val="single" w:color="auto" w:sz="4" w:space="0"/>
              <w:bottom w:val="single" w:color="auto" w:sz="4" w:space="0"/>
              <w:right w:val="single" w:color="auto" w:sz="4" w:space="0"/>
            </w:tcBorders>
            <w:vAlign w:val="center"/>
          </w:tcPr>
          <w:p w14:paraId="7C0E58F0">
            <w:pPr>
              <w:spacing w:line="360" w:lineRule="auto"/>
              <w:jc w:val="center"/>
              <w:rPr>
                <w:rFonts w:hint="eastAsia" w:ascii="宋体" w:hAnsi="宋体" w:eastAsia="宋体" w:cs="宋体"/>
                <w:color w:val="000000"/>
                <w:kern w:val="0"/>
                <w:szCs w:val="21"/>
                <w:lang w:bidi="ar"/>
              </w:rPr>
            </w:pPr>
          </w:p>
        </w:tc>
        <w:tc>
          <w:tcPr>
            <w:tcW w:w="882" w:type="dxa"/>
            <w:tcBorders>
              <w:top w:val="single" w:color="auto" w:sz="4" w:space="0"/>
              <w:left w:val="single" w:color="auto" w:sz="4" w:space="0"/>
              <w:bottom w:val="single" w:color="auto" w:sz="4" w:space="0"/>
              <w:right w:val="single" w:color="auto" w:sz="4" w:space="0"/>
            </w:tcBorders>
            <w:vAlign w:val="center"/>
          </w:tcPr>
          <w:p w14:paraId="4D120818">
            <w:pPr>
              <w:spacing w:line="360" w:lineRule="auto"/>
              <w:jc w:val="center"/>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套</w:t>
            </w:r>
          </w:p>
        </w:tc>
        <w:tc>
          <w:tcPr>
            <w:tcW w:w="5302" w:type="dxa"/>
            <w:tcBorders>
              <w:top w:val="single" w:color="auto" w:sz="4" w:space="0"/>
              <w:left w:val="single" w:color="auto" w:sz="4" w:space="0"/>
              <w:bottom w:val="single" w:color="auto" w:sz="4" w:space="0"/>
              <w:right w:val="single" w:color="auto" w:sz="4" w:space="0"/>
            </w:tcBorders>
            <w:vAlign w:val="center"/>
          </w:tcPr>
          <w:p w14:paraId="2E7A6FF1">
            <w:pPr>
              <w:keepNext w:val="0"/>
              <w:keepLines w:val="0"/>
              <w:pageBreakBefore w:val="0"/>
              <w:widowControl w:val="0"/>
              <w:kinsoku/>
              <w:wordWrap/>
              <w:overflowPunct/>
              <w:topLinePunct w:val="0"/>
              <w:bidi w:val="0"/>
              <w:snapToGrid/>
              <w:spacing w:after="0" w:line="340" w:lineRule="exact"/>
              <w:ind w:left="0" w:leftChars="0" w:firstLine="0" w:firstLineChars="0"/>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针对二门课程：</w:t>
            </w:r>
            <w:bookmarkStart w:id="1" w:name="OLE_LINK2"/>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养老服务综合评估</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老年人安宁疗护</w:t>
            </w:r>
            <w:r>
              <w:rPr>
                <w:rFonts w:hint="eastAsia" w:ascii="宋体" w:hAnsi="宋体" w:eastAsia="宋体" w:cs="宋体"/>
                <w:color w:val="000000"/>
                <w:kern w:val="0"/>
                <w:sz w:val="20"/>
                <w:szCs w:val="20"/>
                <w:lang w:eastAsia="zh-CN"/>
              </w:rPr>
              <w:t>》</w:t>
            </w:r>
            <w:bookmarkEnd w:id="1"/>
            <w:r>
              <w:rPr>
                <w:rFonts w:hint="eastAsia" w:ascii="宋体" w:hAnsi="宋体" w:eastAsia="宋体" w:cs="宋体"/>
                <w:color w:val="000000"/>
                <w:kern w:val="0"/>
                <w:sz w:val="20"/>
                <w:szCs w:val="20"/>
                <w:lang w:val="en-US" w:eastAsia="zh-CN"/>
              </w:rPr>
              <w:t>慕课进行双音翻译和双音字幕。</w:t>
            </w:r>
          </w:p>
          <w:p w14:paraId="26A84573">
            <w:pPr>
              <w:keepNext w:val="0"/>
              <w:keepLines w:val="0"/>
              <w:pageBreakBefore w:val="0"/>
              <w:widowControl w:val="0"/>
              <w:kinsoku/>
              <w:wordWrap/>
              <w:overflowPunct/>
              <w:topLinePunct w:val="0"/>
              <w:bidi w:val="0"/>
              <w:snapToGrid/>
              <w:spacing w:after="0" w:line="340" w:lineRule="exact"/>
              <w:ind w:left="0" w:leftChars="0" w:firstLine="0" w:firstLineChars="0"/>
              <w:textAlignment w:val="auto"/>
              <w:rPr>
                <w:rFonts w:hint="eastAsia" w:ascii="宋体" w:hAnsi="宋体" w:eastAsia="宋体" w:cs="宋体"/>
                <w:color w:val="000000"/>
                <w:kern w:val="0"/>
                <w:sz w:val="20"/>
                <w:szCs w:val="20"/>
                <w:lang w:eastAsia="zh-Hans"/>
              </w:rPr>
            </w:pPr>
            <w:r>
              <w:rPr>
                <w:rFonts w:hint="eastAsia" w:ascii="宋体" w:hAnsi="宋体" w:eastAsia="宋体" w:cs="宋体"/>
                <w:color w:val="000000"/>
                <w:kern w:val="0"/>
                <w:sz w:val="20"/>
                <w:szCs w:val="20"/>
                <w:lang w:eastAsia="zh-Hans"/>
              </w:rPr>
              <w:t>1.稿件全文人工翻译，翻译内容自然流畅、语法准确。</w:t>
            </w:r>
          </w:p>
          <w:p w14:paraId="24FAECB0">
            <w:pPr>
              <w:keepNext w:val="0"/>
              <w:keepLines w:val="0"/>
              <w:pageBreakBefore w:val="0"/>
              <w:widowControl w:val="0"/>
              <w:kinsoku/>
              <w:wordWrap/>
              <w:overflowPunct/>
              <w:topLinePunct w:val="0"/>
              <w:bidi w:val="0"/>
              <w:snapToGrid/>
              <w:spacing w:after="0" w:line="340" w:lineRule="exact"/>
              <w:ind w:left="0" w:leftChars="0" w:firstLine="0" w:firstLineChars="0"/>
              <w:textAlignment w:val="auto"/>
              <w:rPr>
                <w:rFonts w:hint="eastAsia" w:ascii="宋体" w:hAnsi="宋体" w:eastAsia="宋体" w:cs="宋体"/>
                <w:color w:val="000000"/>
                <w:kern w:val="0"/>
                <w:sz w:val="20"/>
                <w:szCs w:val="20"/>
                <w:lang w:eastAsia="zh-Hans"/>
              </w:rPr>
            </w:pPr>
            <w:r>
              <w:rPr>
                <w:rFonts w:hint="eastAsia" w:ascii="宋体" w:hAnsi="宋体" w:eastAsia="宋体" w:cs="宋体"/>
                <w:color w:val="000000"/>
                <w:kern w:val="0"/>
                <w:sz w:val="20"/>
                <w:szCs w:val="20"/>
                <w:lang w:eastAsia="zh-Hans"/>
              </w:rPr>
              <w:t>2.专业词语需严谨，充分考虑语言结构特点和语言语境，确保英文翻译用词恰当、语法正确语句通顺、翻译内容与中文内容一致，达到专业水平标准。</w:t>
            </w:r>
          </w:p>
          <w:p w14:paraId="2697432D">
            <w:pPr>
              <w:keepNext w:val="0"/>
              <w:keepLines w:val="0"/>
              <w:pageBreakBefore w:val="0"/>
              <w:widowControl w:val="0"/>
              <w:kinsoku/>
              <w:wordWrap/>
              <w:overflowPunct/>
              <w:topLinePunct w:val="0"/>
              <w:bidi w:val="0"/>
              <w:snapToGrid/>
              <w:spacing w:after="0" w:line="340" w:lineRule="exact"/>
              <w:ind w:left="0" w:leftChars="0" w:firstLine="0" w:firstLineChars="0"/>
              <w:textAlignment w:val="auto"/>
              <w:rPr>
                <w:rFonts w:hint="eastAsia" w:ascii="宋体" w:hAnsi="宋体" w:eastAsia="宋体" w:cs="宋体"/>
                <w:color w:val="000000"/>
                <w:kern w:val="0"/>
                <w:sz w:val="20"/>
                <w:szCs w:val="20"/>
                <w:lang w:eastAsia="zh-Hans"/>
              </w:rPr>
            </w:pPr>
            <w:r>
              <w:rPr>
                <w:rFonts w:hint="eastAsia" w:ascii="宋体" w:hAnsi="宋体" w:eastAsia="宋体" w:cs="宋体"/>
                <w:color w:val="000000"/>
                <w:kern w:val="0"/>
                <w:sz w:val="20"/>
                <w:szCs w:val="20"/>
                <w:lang w:eastAsia="zh-Hans"/>
              </w:rPr>
              <w:t>3.微课全程双语呈现，包括课件内容、字幕等；若模板中的课程名称、模块序号、模块名称、背景、按钮、标题、页码等出现中文，则翻译成对应的外文。</w:t>
            </w:r>
          </w:p>
          <w:p w14:paraId="39158597">
            <w:pPr>
              <w:keepNext w:val="0"/>
              <w:keepLines w:val="0"/>
              <w:pageBreakBefore w:val="0"/>
              <w:widowControl w:val="0"/>
              <w:kinsoku/>
              <w:wordWrap/>
              <w:overflowPunct/>
              <w:topLinePunct w:val="0"/>
              <w:bidi w:val="0"/>
              <w:snapToGrid/>
              <w:spacing w:after="0" w:line="340" w:lineRule="exact"/>
              <w:ind w:left="0" w:leftChars="0" w:firstLine="0" w:firstLineChars="0"/>
              <w:textAlignment w:val="auto"/>
              <w:rPr>
                <w:rFonts w:hint="eastAsia" w:ascii="宋体" w:hAnsi="宋体" w:eastAsia="宋体" w:cs="宋体"/>
                <w:color w:val="000000"/>
                <w:kern w:val="0"/>
                <w:sz w:val="20"/>
                <w:szCs w:val="20"/>
                <w:lang w:eastAsia="zh-Hans"/>
              </w:rPr>
            </w:pPr>
            <w:r>
              <w:rPr>
                <w:rFonts w:hint="eastAsia" w:ascii="宋体" w:hAnsi="宋体" w:eastAsia="宋体" w:cs="宋体"/>
                <w:color w:val="000000"/>
                <w:kern w:val="0"/>
                <w:sz w:val="20"/>
                <w:szCs w:val="20"/>
                <w:lang w:eastAsia="zh-Hans"/>
              </w:rPr>
              <w:t>4.双语字幕断句准确、规范。</w:t>
            </w:r>
          </w:p>
          <w:p w14:paraId="4D8F6CA0">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 w:val="20"/>
                <w:szCs w:val="20"/>
                <w:lang w:eastAsia="zh-Hans"/>
              </w:rPr>
              <w:t>5.字幕要使用符合国家标准的规范字，不出现繁体字、异体字(国家规定的除外)、错别字；字幕的字体、大小、色彩搭配、摆放位置、停留时间、出入屏方式力求与其他要素（画面、解说词、音乐）配合适当，不能破坏原有画面。</w:t>
            </w:r>
          </w:p>
        </w:tc>
      </w:tr>
      <w:tr w14:paraId="5461C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9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2053FB6">
            <w:pPr>
              <w:spacing w:line="360" w:lineRule="auto"/>
              <w:ind w:firstLine="455"/>
              <w:jc w:val="left"/>
              <w:rPr>
                <w:rFonts w:hint="eastAsia" w:ascii="宋体" w:hAnsi="宋体" w:eastAsiaTheme="minorEastAsia"/>
                <w:szCs w:val="21"/>
                <w:lang w:val="en-US" w:eastAsia="zh-CN"/>
              </w:rPr>
            </w:pPr>
            <w:r>
              <w:rPr>
                <w:rFonts w:hint="eastAsia" w:ascii="宋体" w:hAnsi="宋体"/>
                <w:szCs w:val="21"/>
                <w:lang w:val="en-US" w:eastAsia="zh-CN"/>
              </w:rPr>
              <w:t>4</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44A1CA1E">
            <w:pPr>
              <w:autoSpaceDE w:val="0"/>
              <w:autoSpaceDN w:val="0"/>
              <w:adjustRightInd w:val="0"/>
              <w:spacing w:line="360" w:lineRule="auto"/>
              <w:jc w:val="center"/>
              <w:rPr>
                <w:rFonts w:hint="eastAsia" w:ascii="宋体" w:hAnsi="宋体" w:eastAsia="宋体" w:cs="宋体"/>
                <w:color w:val="000000"/>
                <w:kern w:val="0"/>
                <w:szCs w:val="21"/>
                <w:lang w:val="en-US" w:eastAsia="zh-CN" w:bidi="ar"/>
              </w:rPr>
            </w:pPr>
            <w:r>
              <w:rPr>
                <w:rFonts w:hint="eastAsia" w:ascii="宋体" w:hAnsi="宋体" w:eastAsia="宋体" w:cs="宋体"/>
                <w:color w:val="auto"/>
                <w:kern w:val="0"/>
                <w:sz w:val="20"/>
                <w:szCs w:val="20"/>
                <w:highlight w:val="none"/>
              </w:rPr>
              <w:t>课程上线运行、申报服务</w:t>
            </w:r>
          </w:p>
        </w:tc>
        <w:tc>
          <w:tcPr>
            <w:tcW w:w="1013" w:type="dxa"/>
            <w:tcBorders>
              <w:top w:val="single" w:color="auto" w:sz="4" w:space="0"/>
              <w:left w:val="single" w:color="auto" w:sz="4" w:space="0"/>
              <w:bottom w:val="single" w:color="auto" w:sz="4" w:space="0"/>
              <w:right w:val="single" w:color="auto" w:sz="4" w:space="0"/>
            </w:tcBorders>
            <w:vAlign w:val="center"/>
          </w:tcPr>
          <w:p w14:paraId="487BE9E0">
            <w:pPr>
              <w:spacing w:line="360" w:lineRule="auto"/>
              <w:ind w:firstLine="210" w:firstLineChars="100"/>
              <w:jc w:val="both"/>
              <w:rPr>
                <w:rFonts w:hint="eastAsia" w:ascii="宋体" w:hAnsi="宋体" w:eastAsia="宋体" w:cs="宋体"/>
                <w:color w:val="000000"/>
                <w:kern w:val="0"/>
                <w:szCs w:val="21"/>
                <w:lang w:bidi="ar"/>
              </w:rPr>
            </w:pPr>
          </w:p>
        </w:tc>
        <w:tc>
          <w:tcPr>
            <w:tcW w:w="882" w:type="dxa"/>
            <w:tcBorders>
              <w:top w:val="single" w:color="auto" w:sz="4" w:space="0"/>
              <w:left w:val="single" w:color="auto" w:sz="4" w:space="0"/>
              <w:bottom w:val="single" w:color="auto" w:sz="4" w:space="0"/>
              <w:right w:val="single" w:color="auto" w:sz="4" w:space="0"/>
            </w:tcBorders>
            <w:vAlign w:val="center"/>
          </w:tcPr>
          <w:p w14:paraId="5872CE2A">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2套</w:t>
            </w:r>
          </w:p>
        </w:tc>
        <w:tc>
          <w:tcPr>
            <w:tcW w:w="5302" w:type="dxa"/>
            <w:tcBorders>
              <w:top w:val="single" w:color="auto" w:sz="4" w:space="0"/>
              <w:left w:val="single" w:color="auto" w:sz="4" w:space="0"/>
              <w:bottom w:val="single" w:color="auto" w:sz="4" w:space="0"/>
              <w:right w:val="single" w:color="auto" w:sz="4" w:space="0"/>
            </w:tcBorders>
            <w:vAlign w:val="center"/>
          </w:tcPr>
          <w:p w14:paraId="2A2A3F4A">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1.需帮助学校开展课程运行服务，将课程上线到获得国家认可的在线课程开发平台，如超星泛雅网络教学平台、学银在线开放课程平台。</w:t>
            </w:r>
          </w:p>
          <w:p w14:paraId="455F456B">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2.需拟派课程顾问进行线上教学技术支持，聘请专家进校为采购人进行申报培训。</w:t>
            </w:r>
          </w:p>
          <w:p w14:paraId="00C9D6D9">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3.提供针对本次课程运行展示的网络教学平台服务，供应商须具备网络教学平台的管理权限，包括后台功能及数据管理、前端功能管理、课程门户管理等，网络教学平台须具备如下功能。</w:t>
            </w:r>
          </w:p>
          <w:p w14:paraId="3E1FE06E">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3.1 PC端服务平台功能</w:t>
            </w:r>
          </w:p>
          <w:p w14:paraId="5FCDDB94">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3.1.1 教学管理功能</w:t>
            </w:r>
          </w:p>
          <w:p w14:paraId="35F51712">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（1）需支持定制学校个性化课程网站，学生可通过个性化网站进行登录。</w:t>
            </w:r>
          </w:p>
          <w:p w14:paraId="43B00B7A">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（2）支持学生数据的导入与成绩的导出。</w:t>
            </w:r>
          </w:p>
          <w:p w14:paraId="0C746EA1">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（3）课程应用支持独有模式与共有模式两种。</w:t>
            </w:r>
          </w:p>
          <w:p w14:paraId="0FCBF21B">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3.1.2学习空间</w:t>
            </w:r>
          </w:p>
          <w:p w14:paraId="019E6ECF">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学习空间可以为每个学生打造个性化的主页，记录其学习历程。学习空间采用APP架构，所有学习服务APP化，用户可以把常用的APP应用安装到自己的学习空间主页中，并可以管理自己安装的应用。</w:t>
            </w:r>
          </w:p>
          <w:p w14:paraId="501476B8">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学习空间至少包含以下应用模块：</w:t>
            </w:r>
          </w:p>
          <w:p w14:paraId="1B550700">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（1）日程表：可以编辑、查看自己的日程。</w:t>
            </w:r>
          </w:p>
          <w:p w14:paraId="36C42771">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▲（2）云盘</w:t>
            </w:r>
          </w:p>
          <w:p w14:paraId="381A0BE4">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为每个用户账号提供独立自主开发的至少80G云盘空间，可以将文件上传至云盘中，随时随地进行下载，并可以在课程建设时引用云盘的资源。提供一个PC版客户端，可以设定一个文件夹，文件夹内容自动与云盘内容保持同步，方便批量上传资源，云盘空间与课程网络教学平台无缝衔接，无需点击链接跳转。</w:t>
            </w:r>
          </w:p>
          <w:p w14:paraId="4C2D8676">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（3）问卷调查</w:t>
            </w:r>
          </w:p>
          <w:p w14:paraId="1A8F8C7C">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学校、老师可以向学生发起一个问卷调查，问卷可以发送给不同范围的学生，学生在线提交，问卷结果可以进行数据的统计分析，如各选项的选择人数等。</w:t>
            </w:r>
          </w:p>
          <w:p w14:paraId="5FF86DCA">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（4）PBL教学</w:t>
            </w:r>
          </w:p>
          <w:p w14:paraId="69F93C5A">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PBL教学是以问题为基础、以学生为中心、教师为引导、学生自主学习的教学模式。以下功能便于开展此类教学。</w:t>
            </w:r>
          </w:p>
          <w:p w14:paraId="2D3D138B">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3.2 提供移动端在线学习功能</w:t>
            </w:r>
          </w:p>
          <w:p w14:paraId="75A90CF1">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（1）具有移动客户端，支持iOS和Android操作系统，用于手机、Pad等智能移动终端中，实现学生在线移动学习。</w:t>
            </w:r>
          </w:p>
          <w:p w14:paraId="2DF56C18">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（2）PC端与移动端的学习进度保持同步，学生在任何终端上，都可以实现学习记录的持续性，系统也可对任何终端的学习行为进行监控。          </w:t>
            </w:r>
          </w:p>
          <w:p w14:paraId="16E0D1BA">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（3）课程需支持闯关式教学，学生必须在完当前任务后才可进入下一环节。系统还需支持一键式取消闯关模式，在取消闯关模式后学生可自由进行学习。</w:t>
            </w:r>
          </w:p>
          <w:p w14:paraId="7E8AE251">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（4）闯关模式中的学习任务应至少支持视频、作业、阅读三种类型。</w:t>
            </w:r>
          </w:p>
          <w:p w14:paraId="4F4F9EA7">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（5）学生在线学习课程时需支持进度记忆，支持防止快进、防止跳集观看，支持当前活动窗口探测，防止观看课程时进行其他活动。系统还可取消防快进、防跳集、防窗口探测功能。</w:t>
            </w:r>
          </w:p>
          <w:p w14:paraId="29F01BEB">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▲（6）学生成绩考核包含音视频、作业、考试、课程积分、互动测验、分组任务PBL六个维度，可根据需要灵活设置。 </w:t>
            </w:r>
          </w:p>
          <w:p w14:paraId="3CBDAF36">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（7）平台支持移动端考试，学生通过输入考试码、人脸识别方可进入考试界面。     </w:t>
            </w:r>
          </w:p>
          <w:p w14:paraId="2C9A98FE">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（8）移动端支持在线考试，发放试卷、支持直接从试卷库中调取试卷进行考试，并且支持监考功能。                   </w:t>
            </w:r>
          </w:p>
          <w:p w14:paraId="556A0554">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▲（9）教师可在移动端有序的发布签到、问卷、直播、同步课堂、作业、考试、在线课堂、分组讨论9种教学活动，可实现互动内容课堂发放并复用。</w:t>
            </w:r>
          </w:p>
          <w:p w14:paraId="52D6BE86">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（10）采用多种手段对某一课程的教学效果进行在线实时统计，对班级成绩进行统计分析，对学生行为进行统计分析，支持表单和图表样式显示结果，可以导出统计结果。                    </w:t>
            </w:r>
          </w:p>
          <w:p w14:paraId="4C39D346">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▲（11）学生通过移动端进行在线课程的学习、作业、考试、讨论、答疑5种操作，支持闯关模式学习，支持视频防拖拽、防窗口切换、防跳集学习监控。</w:t>
            </w:r>
          </w:p>
          <w:p w14:paraId="26D56010">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（12）学生的课堂签到情况、课堂表现等情况都以积分形式形成评价，可转换为平时成绩；在线课程的学习同时记录作业成绩、考试成绩、按照老师设计的成绩权重给出综合评价。</w:t>
            </w:r>
          </w:p>
          <w:p w14:paraId="4BEFC5B2">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（13）可以阅读海量电子图书、报纸、期刊、专题等资源，可以订阅到自己的空间，并进行分类管理；可以对所有精彩的内容进行分享。</w:t>
            </w:r>
          </w:p>
          <w:p w14:paraId="36856987">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▲（14）教师可以在移动客户端选择给指定的人发送通知，并统计已读和未读名单，移动端支持发送督学提醒，如短信提醒、微信提醒、电话提醒3种提醒。</w:t>
            </w:r>
          </w:p>
          <w:p w14:paraId="075C3490">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3.3 教师教学管理功能</w:t>
            </w:r>
          </w:p>
          <w:p w14:paraId="00C2D668">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（1）教师可及时发布各种通知。</w:t>
            </w:r>
          </w:p>
          <w:p w14:paraId="6FDCD937">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（2）教师可设置课程的发布模式：包括闯关教学模式与自由学习模式，还可选择一次性发布学习任务和分批自动发布学习任务。</w:t>
            </w:r>
          </w:p>
          <w:p w14:paraId="7EFF370D">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（3）除了平台自带题库外，需支持教师自己出题，进行发布考核，并纳入考核方案。</w:t>
            </w:r>
          </w:p>
          <w:p w14:paraId="14A1BFDF">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▲（4）教师可以对课程进行管理，在课程管理中对学生端进行设置，学生进入章节学习页面时，开启人脸识别，电脑端识别方式，支持电脑摄像头识别，1种识别模式。</w:t>
            </w:r>
          </w:p>
          <w:p w14:paraId="5CF58359">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（5）教师可在线出卷并发布考试。</w:t>
            </w:r>
          </w:p>
          <w:p w14:paraId="0741F2C3">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（6）支持根据考核标准进行成绩自动统计。</w:t>
            </w:r>
          </w:p>
          <w:p w14:paraId="5DDBCD88">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（7）支持自助式考试与机房统一考试，机房统一考试提供客户端系统。</w:t>
            </w:r>
          </w:p>
          <w:p w14:paraId="633A4A1B">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▲（8）教师可以发布课堂签到，学生直接用手机扫描二维码签到、位置签到、手势签到、普通拍照签到4种方式进行签到。</w:t>
            </w:r>
          </w:p>
          <w:p w14:paraId="1B9137B2">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4.供应商提供教学资源建设服务</w:t>
            </w:r>
          </w:p>
          <w:p w14:paraId="18ACF891">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教学资源提供教师备课、制作课件、制作网络课程等工作中随时需要查阅、引用的海量资源。</w:t>
            </w:r>
          </w:p>
          <w:p w14:paraId="0F1B36A5">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4.1 整合全国高校各院系的本、专科课程信息，课程目录包含教育部规定的10个学科门类，10000门课程。并以课程为中心，整合与课程相关的各种精品资源，包括各高校的名师视频课程、网络精品共享课程，以及与课程相关的电子图书、期刊、论文、视频讲座等。</w:t>
            </w:r>
          </w:p>
          <w:p w14:paraId="5F43AE8F">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▲4.2 教学资源能够与网络教学平台无缝对接，教师在使用网络教学平台进行课程建设、备课、授课过程中随时可以搜索、引用、无缝插入网络教学平台中的资源，同时支持在课程建设过程中，在课程章节编辑界面，可直接调取、引用课程思政教学资源，全面辅助教师教学和学生学习。需包含以下资源：</w:t>
            </w:r>
          </w:p>
          <w:p w14:paraId="4C2A22DD">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（1）提供80万种电子书。可以进行在线阅读，可以进行文字摘录。</w:t>
            </w:r>
          </w:p>
          <w:p w14:paraId="2D0ADDCC">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提供8万集学术视频。需要名校、名师的视频，包含清华大学、北京大学、中国人民大学、北京师范大学、复旦大学、同济大学、上海交通大学、天津大学、南开大学等名校的课程视频及讲座，可以在线进行播放。</w:t>
            </w:r>
          </w:p>
          <w:p w14:paraId="340249A7">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（3）4000千种以上期刊、500种以上全国各地报纸等资源。所有资源需无版权问题，可实时推送给学生，以扩展学生的课外阅读，丰富学生学习知识。</w:t>
            </w:r>
          </w:p>
          <w:p w14:paraId="3604940D">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▲4.3 平台提供提升教师能力相关课程资源模块，模块包括：教学理念类、教学技能类、教学方法类、教师素养类、师德师风。</w:t>
            </w:r>
          </w:p>
          <w:p w14:paraId="0355C94B">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▲4.4 教学预警：平台应支持1种预警方式 ,可向单个学生或批量发出学习预警消息，向学生站内信立即发送。 </w:t>
            </w:r>
          </w:p>
          <w:p w14:paraId="6F37909D">
            <w:pPr>
              <w:keepNext w:val="0"/>
              <w:keepLines w:val="0"/>
              <w:pageBreakBefore w:val="0"/>
              <w:widowControl w:val="0"/>
              <w:kinsoku/>
              <w:wordWrap/>
              <w:overflowPunct/>
              <w:topLinePunct w:val="0"/>
              <w:autoSpaceDE w:val="0"/>
              <w:autoSpaceDN w:val="0"/>
              <w:bidi w:val="0"/>
              <w:adjustRightInd w:val="0"/>
              <w:snapToGrid/>
              <w:spacing w:after="0" w:line="340" w:lineRule="exact"/>
              <w:ind w:left="0" w:leftChars="0" w:firstLine="0" w:firstLineChars="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 知识产权要求：提供的软件拥有自主知识产权。</w:t>
            </w:r>
          </w:p>
        </w:tc>
      </w:tr>
      <w:tr w14:paraId="1F6F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3944CCC0">
            <w:pPr>
              <w:tabs>
                <w:tab w:val="left" w:pos="1820"/>
              </w:tabs>
              <w:spacing w:line="360" w:lineRule="auto"/>
              <w:rPr>
                <w:rFonts w:hint="eastAsia" w:ascii="宋体" w:hAnsi="宋体" w:cs="宋体"/>
                <w:kern w:val="0"/>
                <w:szCs w:val="21"/>
              </w:rPr>
            </w:pPr>
            <w:r>
              <w:rPr>
                <w:rFonts w:hint="eastAsia" w:ascii="宋体" w:hAnsi="宋体" w:cs="宋体"/>
                <w:kern w:val="0"/>
                <w:szCs w:val="21"/>
              </w:rPr>
              <w:t>二、商务需求</w:t>
            </w:r>
          </w:p>
        </w:tc>
      </w:tr>
      <w:tr w14:paraId="027ED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9D3202E">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交货期限及地点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53864958">
            <w:pPr>
              <w:autoSpaceDE w:val="0"/>
              <w:autoSpaceDN w:val="0"/>
              <w:adjustRightInd w:val="0"/>
              <w:spacing w:line="360" w:lineRule="auto"/>
              <w:jc w:val="left"/>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、交货期限</w:t>
            </w:r>
            <w:r>
              <w:rPr>
                <w:rFonts w:ascii="宋体" w:hAnsi="宋体" w:cs="宋体"/>
                <w:kern w:val="0"/>
                <w:szCs w:val="21"/>
              </w:rPr>
              <w:t xml:space="preserve"> </w:t>
            </w:r>
            <w:r>
              <w:rPr>
                <w:rFonts w:hint="eastAsia" w:ascii="宋体" w:hAnsi="宋体" w:cs="宋体"/>
                <w:kern w:val="0"/>
                <w:szCs w:val="21"/>
              </w:rPr>
              <w:t>：合同签订之日起</w:t>
            </w:r>
            <w:r>
              <w:rPr>
                <w:rFonts w:hint="eastAsia" w:ascii="宋体" w:hAnsi="宋体" w:eastAsia="宋体" w:cs="宋体"/>
                <w:kern w:val="0"/>
                <w:szCs w:val="21"/>
                <w:lang w:val="en-US" w:eastAsia="zh-CN"/>
              </w:rPr>
              <w:t>60</w:t>
            </w:r>
            <w:r>
              <w:rPr>
                <w:rFonts w:hint="eastAsia" w:ascii="宋体" w:hAnsi="宋体" w:eastAsia="宋体" w:cs="宋体"/>
                <w:kern w:val="0"/>
                <w:szCs w:val="21"/>
              </w:rPr>
              <w:t>个工作日内</w:t>
            </w:r>
            <w:r>
              <w:rPr>
                <w:rFonts w:hint="eastAsia" w:ascii="宋体" w:hAnsi="宋体" w:cs="宋体"/>
                <w:kern w:val="0"/>
                <w:szCs w:val="21"/>
              </w:rPr>
              <w:t>。</w:t>
            </w:r>
          </w:p>
          <w:p w14:paraId="61B89D7E">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2、交货地点：广西中医药大学。</w:t>
            </w:r>
          </w:p>
        </w:tc>
      </w:tr>
      <w:tr w14:paraId="6F87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568592F8">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65FB2A05">
            <w:pPr>
              <w:spacing w:line="400" w:lineRule="exact"/>
              <w:rPr>
                <w:rFonts w:hint="eastAsia" w:ascii="宋体" w:hAnsi="宋体" w:eastAsia="宋体" w:cs="宋体"/>
                <w:kern w:val="1"/>
                <w:szCs w:val="21"/>
              </w:rPr>
            </w:pPr>
            <w:r>
              <w:rPr>
                <w:rFonts w:hint="eastAsia" w:ascii="宋体" w:hAnsi="宋体" w:eastAsia="宋体" w:cs="宋体"/>
                <w:kern w:val="1"/>
                <w:szCs w:val="21"/>
              </w:rPr>
              <w:t>合同约定时间内交货，供应商安装调试，经采购人验收合格后，在15个工作日内凭供应商开具的全额发票，一次性付清全部货款。</w:t>
            </w:r>
          </w:p>
        </w:tc>
      </w:tr>
      <w:tr w14:paraId="4D2A5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AC0452B">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p>
        </w:tc>
      </w:tr>
      <w:tr w14:paraId="3479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6C947343">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1616C136">
            <w:pPr>
              <w:autoSpaceDE w:val="0"/>
              <w:autoSpaceDN w:val="0"/>
              <w:adjustRightInd w:val="0"/>
              <w:spacing w:line="360" w:lineRule="auto"/>
              <w:jc w:val="left"/>
              <w:rPr>
                <w:rFonts w:hint="eastAsia" w:ascii="宋体" w:hAnsi="宋体"/>
                <w:b/>
                <w:bCs/>
              </w:rPr>
            </w:pPr>
            <w:r>
              <w:rPr>
                <w:rFonts w:hint="eastAsia" w:ascii="宋体" w:hAnsi="宋体"/>
                <w:b/>
                <w:bCs/>
              </w:rPr>
              <w:t>▲1、60个日内完成供货。</w:t>
            </w:r>
          </w:p>
          <w:p w14:paraId="01FEEF71">
            <w:pPr>
              <w:autoSpaceDE w:val="0"/>
              <w:autoSpaceDN w:val="0"/>
              <w:adjustRightInd w:val="0"/>
              <w:spacing w:line="360" w:lineRule="auto"/>
              <w:jc w:val="left"/>
              <w:rPr>
                <w:rFonts w:hint="eastAsia" w:ascii="宋体" w:hAnsi="宋体"/>
                <w:b/>
                <w:bCs/>
              </w:rPr>
            </w:pPr>
            <w:r>
              <w:rPr>
                <w:rFonts w:hint="eastAsia" w:ascii="宋体" w:hAnsi="宋体"/>
                <w:b/>
                <w:bCs/>
              </w:rPr>
              <w:t>▲2、本项目按服务费用内进行报价，报价必须含以下部分：①采用全包方式即合同金额，包括一切施工设备、人工费、各种保险费、税费等一切费用。</w:t>
            </w:r>
          </w:p>
          <w:p w14:paraId="2C3465B8">
            <w:pPr>
              <w:autoSpaceDE w:val="0"/>
              <w:autoSpaceDN w:val="0"/>
              <w:adjustRightInd w:val="0"/>
              <w:spacing w:line="360" w:lineRule="auto"/>
              <w:jc w:val="left"/>
              <w:rPr>
                <w:rFonts w:hint="eastAsia" w:ascii="宋体" w:hAnsi="宋体"/>
                <w:b/>
                <w:bCs/>
              </w:rPr>
            </w:pPr>
            <w:r>
              <w:rPr>
                <w:rFonts w:hint="eastAsia" w:ascii="宋体" w:hAnsi="宋体"/>
                <w:b/>
                <w:bCs/>
              </w:rPr>
              <w:t>▲3、供应商应采取合理措施保障服务的安全性，自愿承担一切风险和责任。如因检测中可能遭受的任何纠纷或损失应当由供应商承担全部责任。</w:t>
            </w:r>
          </w:p>
          <w:p w14:paraId="712F0901">
            <w:pPr>
              <w:autoSpaceDE w:val="0"/>
              <w:autoSpaceDN w:val="0"/>
              <w:adjustRightInd w:val="0"/>
              <w:spacing w:line="360" w:lineRule="auto"/>
              <w:jc w:val="left"/>
            </w:pPr>
            <w:r>
              <w:rPr>
                <w:rFonts w:hint="eastAsia" w:ascii="宋体" w:hAnsi="宋体"/>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2CD65CD4">
      <w:pPr>
        <w:pStyle w:val="14"/>
        <w:widowControl/>
        <w:spacing w:after="452" w:line="555" w:lineRule="atLeast"/>
        <w:rPr>
          <w:rStyle w:val="19"/>
          <w:rFonts w:hint="eastAsia" w:ascii="黑体" w:hAnsi="宋体" w:eastAsia="黑体" w:cs="黑体"/>
          <w:color w:val="333333"/>
          <w:sz w:val="28"/>
          <w:szCs w:val="28"/>
          <w:shd w:val="clear" w:color="auto"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45EA8245">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GM5ZWQ0YmMzYTQ2NmExNjA0ZDM2MjRlOTBjMzY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753C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60F53"/>
    <w:rsid w:val="006660B4"/>
    <w:rsid w:val="00681F69"/>
    <w:rsid w:val="006A4493"/>
    <w:rsid w:val="006C62A8"/>
    <w:rsid w:val="006D028E"/>
    <w:rsid w:val="006D06C6"/>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60CC4"/>
    <w:rsid w:val="00973544"/>
    <w:rsid w:val="00976B0B"/>
    <w:rsid w:val="00980C1A"/>
    <w:rsid w:val="00991123"/>
    <w:rsid w:val="009A0E5A"/>
    <w:rsid w:val="009A4990"/>
    <w:rsid w:val="009E24CA"/>
    <w:rsid w:val="009E40CD"/>
    <w:rsid w:val="009E469C"/>
    <w:rsid w:val="009F3F9A"/>
    <w:rsid w:val="00A173CF"/>
    <w:rsid w:val="00A25973"/>
    <w:rsid w:val="00A46721"/>
    <w:rsid w:val="00A82D07"/>
    <w:rsid w:val="00A86CD0"/>
    <w:rsid w:val="00A91344"/>
    <w:rsid w:val="00AC4CAC"/>
    <w:rsid w:val="00AC6052"/>
    <w:rsid w:val="00AC7DAE"/>
    <w:rsid w:val="00AE5F79"/>
    <w:rsid w:val="00B07709"/>
    <w:rsid w:val="00B11EDA"/>
    <w:rsid w:val="00B12D00"/>
    <w:rsid w:val="00B17646"/>
    <w:rsid w:val="00B25E09"/>
    <w:rsid w:val="00B55956"/>
    <w:rsid w:val="00B81F9C"/>
    <w:rsid w:val="00B86469"/>
    <w:rsid w:val="00B95E1D"/>
    <w:rsid w:val="00B96A3E"/>
    <w:rsid w:val="00BB058F"/>
    <w:rsid w:val="00BB208F"/>
    <w:rsid w:val="00BD4895"/>
    <w:rsid w:val="00BD6001"/>
    <w:rsid w:val="00BE601F"/>
    <w:rsid w:val="00BF406C"/>
    <w:rsid w:val="00BF531C"/>
    <w:rsid w:val="00C14009"/>
    <w:rsid w:val="00C30E63"/>
    <w:rsid w:val="00C54DB5"/>
    <w:rsid w:val="00C671A9"/>
    <w:rsid w:val="00C75936"/>
    <w:rsid w:val="00C81107"/>
    <w:rsid w:val="00C92655"/>
    <w:rsid w:val="00C961C2"/>
    <w:rsid w:val="00CB26C2"/>
    <w:rsid w:val="00CE11B5"/>
    <w:rsid w:val="00CF4136"/>
    <w:rsid w:val="00CF77EF"/>
    <w:rsid w:val="00D13312"/>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DF613D3"/>
    <w:rsid w:val="20A0716E"/>
    <w:rsid w:val="21E9568B"/>
    <w:rsid w:val="26A022EB"/>
    <w:rsid w:val="278E005D"/>
    <w:rsid w:val="288B42E2"/>
    <w:rsid w:val="2FEC2936"/>
    <w:rsid w:val="30175C86"/>
    <w:rsid w:val="3038292B"/>
    <w:rsid w:val="306D7DC2"/>
    <w:rsid w:val="33F53549"/>
    <w:rsid w:val="34ED32CA"/>
    <w:rsid w:val="38290730"/>
    <w:rsid w:val="3BDC4EF4"/>
    <w:rsid w:val="3F7B2040"/>
    <w:rsid w:val="41842ED7"/>
    <w:rsid w:val="41E80EEB"/>
    <w:rsid w:val="44E060C2"/>
    <w:rsid w:val="46BD4BB0"/>
    <w:rsid w:val="4708796F"/>
    <w:rsid w:val="47283916"/>
    <w:rsid w:val="4A8C26DF"/>
    <w:rsid w:val="4EE43B63"/>
    <w:rsid w:val="508F329F"/>
    <w:rsid w:val="52264F17"/>
    <w:rsid w:val="527B4618"/>
    <w:rsid w:val="52B813CD"/>
    <w:rsid w:val="52D653D6"/>
    <w:rsid w:val="58E50BA2"/>
    <w:rsid w:val="598B674F"/>
    <w:rsid w:val="5B8E2CD1"/>
    <w:rsid w:val="5D5E44AA"/>
    <w:rsid w:val="5D84785A"/>
    <w:rsid w:val="61B827FE"/>
    <w:rsid w:val="628F7431"/>
    <w:rsid w:val="67D866A0"/>
    <w:rsid w:val="6C28527F"/>
    <w:rsid w:val="6D6123F1"/>
    <w:rsid w:val="7357203A"/>
    <w:rsid w:val="75352A7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6">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rFonts w:ascii="Times New Roman" w:hAnsi="Calibri" w:eastAsia="宋体" w:cs="Times New Roman"/>
      <w:sz w:val="21"/>
      <w:szCs w:val="24"/>
    </w:rPr>
  </w:style>
  <w:style w:type="paragraph" w:styleId="3">
    <w:name w:val="Body Text Indent"/>
    <w:basedOn w:val="1"/>
    <w:next w:val="1"/>
    <w:qFormat/>
    <w:uiPriority w:val="0"/>
    <w:pPr>
      <w:ind w:firstLine="352" w:firstLineChars="352"/>
    </w:pPr>
    <w:rPr>
      <w:rFonts w:ascii="仿宋_GB2312" w:eastAsia="仿宋_GB2312"/>
      <w:sz w:val="32"/>
      <w:szCs w:val="20"/>
    </w:rPr>
  </w:style>
  <w:style w:type="paragraph" w:customStyle="1" w:styleId="4">
    <w:name w:val="Intense Quote"/>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styleId="7">
    <w:name w:val="annotation text"/>
    <w:basedOn w:val="1"/>
    <w:link w:val="39"/>
    <w:unhideWhenUsed/>
    <w:qFormat/>
    <w:uiPriority w:val="0"/>
    <w:pPr>
      <w:jc w:val="left"/>
    </w:pPr>
  </w:style>
  <w:style w:type="paragraph" w:styleId="8">
    <w:name w:val="Body Text"/>
    <w:basedOn w:val="1"/>
    <w:next w:val="1"/>
    <w:qFormat/>
    <w:uiPriority w:val="0"/>
    <w:pPr>
      <w:snapToGrid w:val="0"/>
      <w:spacing w:before="0" w:after="0" w:line="336" w:lineRule="auto"/>
      <w:ind w:firstLine="200" w:firstLineChars="200"/>
    </w:pPr>
    <w:rPr>
      <w:rFonts w:ascii="宋体" w:hAnsi="宋体" w:eastAsia="宋体" w:cs="Times New Roman"/>
      <w:szCs w:val="24"/>
    </w:rPr>
  </w:style>
  <w:style w:type="paragraph" w:styleId="9">
    <w:name w:val="Plain Text"/>
    <w:basedOn w:val="1"/>
    <w:link w:val="36"/>
    <w:qFormat/>
    <w:uiPriority w:val="0"/>
    <w:rPr>
      <w:rFonts w:ascii="宋体" w:hAnsi="Courier New" w:eastAsia="宋体" w:cs="Courier New"/>
      <w:kern w:val="0"/>
      <w:sz w:val="20"/>
      <w:szCs w:val="21"/>
    </w:rPr>
  </w:style>
  <w:style w:type="paragraph" w:styleId="10">
    <w:name w:val="Balloon Text"/>
    <w:basedOn w:val="1"/>
    <w:link w:val="41"/>
    <w:unhideWhenUsed/>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ind w:firstLine="0" w:firstLineChars="0"/>
    </w:pPr>
    <w:rPr>
      <w:rFonts w:eastAsia="宋体"/>
      <w:b/>
    </w:rPr>
  </w:style>
  <w:style w:type="paragraph" w:styleId="14">
    <w:name w:val="Normal (Web)"/>
    <w:basedOn w:val="1"/>
    <w:qFormat/>
    <w:uiPriority w:val="99"/>
    <w:pPr>
      <w:jc w:val="left"/>
    </w:pPr>
    <w:rPr>
      <w:rFonts w:cs="Times New Roman"/>
      <w:kern w:val="0"/>
      <w:sz w:val="24"/>
    </w:rPr>
  </w:style>
  <w:style w:type="paragraph" w:styleId="15">
    <w:name w:val="annotation subject"/>
    <w:basedOn w:val="7"/>
    <w:next w:val="7"/>
    <w:link w:val="40"/>
    <w:unhideWhenUsed/>
    <w:qFormat/>
    <w:uiPriority w:val="0"/>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0"/>
    <w:rPr>
      <w:color w:val="333333"/>
      <w:u w:val="none"/>
    </w:rPr>
  </w:style>
  <w:style w:type="character" w:styleId="26">
    <w:name w:val="HTML Code"/>
    <w:basedOn w:val="18"/>
    <w:qFormat/>
    <w:uiPriority w:val="0"/>
    <w:rPr>
      <w:rFonts w:ascii="Courier New" w:hAnsi="Courier New"/>
      <w:sz w:val="20"/>
    </w:rPr>
  </w:style>
  <w:style w:type="character" w:styleId="27">
    <w:name w:val="annotation reference"/>
    <w:basedOn w:val="18"/>
    <w:unhideWhenUsed/>
    <w:qFormat/>
    <w:uiPriority w:val="0"/>
    <w:rPr>
      <w:sz w:val="21"/>
      <w:szCs w:val="21"/>
    </w:rPr>
  </w:style>
  <w:style w:type="character" w:styleId="28">
    <w:name w:val="HTML Cite"/>
    <w:basedOn w:val="18"/>
    <w:qFormat/>
    <w:uiPriority w:val="0"/>
  </w:style>
  <w:style w:type="character" w:customStyle="1" w:styleId="29">
    <w:name w:val="current"/>
    <w:basedOn w:val="18"/>
    <w:qFormat/>
    <w:uiPriority w:val="0"/>
    <w:rPr>
      <w:b/>
      <w:bCs/>
      <w:color w:val="FFFFFF"/>
      <w:bdr w:val="single" w:color="7D6543" w:sz="6" w:space="0"/>
      <w:shd w:val="clear" w:color="auto" w:fill="7D6543"/>
    </w:rPr>
  </w:style>
  <w:style w:type="character" w:customStyle="1" w:styleId="30">
    <w:name w:val="disabled"/>
    <w:basedOn w:val="18"/>
    <w:qFormat/>
    <w:uiPriority w:val="0"/>
    <w:rPr>
      <w:color w:val="999999"/>
      <w:bdr w:val="single" w:color="C5C5C5" w:sz="6" w:space="0"/>
    </w:rPr>
  </w:style>
  <w:style w:type="character" w:customStyle="1" w:styleId="31">
    <w:name w:val="font11"/>
    <w:basedOn w:val="18"/>
    <w:qFormat/>
    <w:uiPriority w:val="0"/>
    <w:rPr>
      <w:rFonts w:hint="eastAsia" w:ascii="宋体" w:hAnsi="宋体" w:eastAsia="宋体" w:cs="宋体"/>
      <w:color w:val="000000"/>
      <w:sz w:val="24"/>
      <w:szCs w:val="24"/>
      <w:u w:val="none"/>
    </w:rPr>
  </w:style>
  <w:style w:type="character" w:customStyle="1" w:styleId="32">
    <w:name w:val="font31"/>
    <w:basedOn w:val="18"/>
    <w:qFormat/>
    <w:uiPriority w:val="0"/>
    <w:rPr>
      <w:rFonts w:hint="eastAsia" w:ascii="宋体" w:hAnsi="宋体" w:eastAsia="宋体" w:cs="宋体"/>
      <w:color w:val="000000"/>
      <w:sz w:val="24"/>
      <w:szCs w:val="24"/>
      <w:u w:val="none"/>
    </w:rPr>
  </w:style>
  <w:style w:type="character" w:customStyle="1" w:styleId="33">
    <w:name w:val="页眉 字符"/>
    <w:basedOn w:val="18"/>
    <w:link w:val="12"/>
    <w:qFormat/>
    <w:uiPriority w:val="99"/>
    <w:rPr>
      <w:rFonts w:asciiTheme="minorHAnsi" w:hAnsiTheme="minorHAnsi" w:eastAsiaTheme="minorEastAsia" w:cstheme="minorBidi"/>
      <w:kern w:val="2"/>
      <w:sz w:val="18"/>
      <w:szCs w:val="18"/>
    </w:rPr>
  </w:style>
  <w:style w:type="character" w:customStyle="1" w:styleId="34">
    <w:name w:val="页脚 字符"/>
    <w:basedOn w:val="18"/>
    <w:link w:val="11"/>
    <w:qFormat/>
    <w:uiPriority w:val="99"/>
    <w:rPr>
      <w:rFonts w:asciiTheme="minorHAnsi" w:hAnsiTheme="minorHAnsi" w:eastAsiaTheme="minorEastAsia" w:cstheme="minorBidi"/>
      <w:kern w:val="2"/>
      <w:sz w:val="18"/>
      <w:szCs w:val="18"/>
    </w:rPr>
  </w:style>
  <w:style w:type="paragraph" w:customStyle="1" w:styleId="35">
    <w:name w:val="列表段落1"/>
    <w:basedOn w:val="1"/>
    <w:unhideWhenUsed/>
    <w:qFormat/>
    <w:uiPriority w:val="99"/>
    <w:pPr>
      <w:ind w:firstLine="420" w:firstLineChars="200"/>
    </w:pPr>
  </w:style>
  <w:style w:type="character" w:customStyle="1" w:styleId="36">
    <w:name w:val="纯文本 字符"/>
    <w:basedOn w:val="18"/>
    <w:link w:val="9"/>
    <w:qFormat/>
    <w:uiPriority w:val="0"/>
    <w:rPr>
      <w:rFonts w:ascii="宋体" w:hAnsi="Courier New" w:cs="Courier New"/>
      <w:szCs w:val="21"/>
    </w:rPr>
  </w:style>
  <w:style w:type="paragraph" w:customStyle="1" w:styleId="37">
    <w:name w:val="无间隔1"/>
    <w:link w:val="38"/>
    <w:qFormat/>
    <w:uiPriority w:val="1"/>
    <w:pPr>
      <w:spacing w:after="160" w:line="278" w:lineRule="auto"/>
    </w:pPr>
    <w:rPr>
      <w:rFonts w:asciiTheme="minorHAnsi" w:hAnsiTheme="minorHAnsi" w:eastAsiaTheme="minorEastAsia" w:cstheme="minorBidi"/>
      <w:sz w:val="22"/>
      <w:szCs w:val="22"/>
      <w:lang w:val="en-US" w:eastAsia="zh-CN" w:bidi="ar-SA"/>
    </w:rPr>
  </w:style>
  <w:style w:type="character" w:customStyle="1" w:styleId="38">
    <w:name w:val="无间隔 Char"/>
    <w:basedOn w:val="18"/>
    <w:link w:val="37"/>
    <w:qFormat/>
    <w:uiPriority w:val="1"/>
    <w:rPr>
      <w:rFonts w:asciiTheme="minorHAnsi" w:hAnsiTheme="minorHAnsi" w:eastAsiaTheme="minorEastAsia" w:cstheme="minorBidi"/>
      <w:sz w:val="22"/>
      <w:szCs w:val="22"/>
    </w:rPr>
  </w:style>
  <w:style w:type="character" w:customStyle="1" w:styleId="39">
    <w:name w:val="批注文字 字符"/>
    <w:basedOn w:val="18"/>
    <w:link w:val="7"/>
    <w:semiHidden/>
    <w:qFormat/>
    <w:uiPriority w:val="0"/>
    <w:rPr>
      <w:rFonts w:asciiTheme="minorHAnsi" w:hAnsiTheme="minorHAnsi" w:eastAsiaTheme="minorEastAsia" w:cstheme="minorBidi"/>
      <w:kern w:val="2"/>
      <w:sz w:val="21"/>
      <w:szCs w:val="24"/>
    </w:rPr>
  </w:style>
  <w:style w:type="character" w:customStyle="1" w:styleId="40">
    <w:name w:val="批注主题 字符"/>
    <w:basedOn w:val="39"/>
    <w:link w:val="15"/>
    <w:semiHidden/>
    <w:qFormat/>
    <w:uiPriority w:val="0"/>
    <w:rPr>
      <w:rFonts w:asciiTheme="minorHAnsi" w:hAnsiTheme="minorHAnsi" w:eastAsiaTheme="minorEastAsia" w:cstheme="minorBidi"/>
      <w:b/>
      <w:bCs/>
      <w:kern w:val="2"/>
      <w:sz w:val="21"/>
      <w:szCs w:val="24"/>
    </w:rPr>
  </w:style>
  <w:style w:type="character" w:customStyle="1" w:styleId="41">
    <w:name w:val="批注框文本 字符"/>
    <w:basedOn w:val="18"/>
    <w:link w:val="10"/>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5549</Words>
  <Characters>5881</Characters>
  <Lines>10</Lines>
  <Paragraphs>3</Paragraphs>
  <TotalTime>7</TotalTime>
  <ScaleCrop>false</ScaleCrop>
  <LinksUpToDate>false</LinksUpToDate>
  <CharactersWithSpaces>5983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晴朗</cp:lastModifiedBy>
  <cp:lastPrinted>2021-12-09T07:52:00Z</cp:lastPrinted>
  <dcterms:modified xsi:type="dcterms:W3CDTF">2024-11-12T02:13:05Z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C944FB368F314917A534C985B52AE58B_13</vt:lpwstr>
  </property>
</Properties>
</file>