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D7311">
      <w:pPr>
        <w:spacing w:line="400" w:lineRule="exact"/>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宋体" w:hAnsi="宋体" w:eastAsia="宋体" w:cs="Times New Roman"/>
          <w:b/>
          <w:sz w:val="24"/>
          <w:szCs w:val="24"/>
          <w:lang w:eastAsia="zh-CN"/>
        </w:rPr>
        <w:t>服务</w:t>
      </w:r>
      <w:r>
        <w:rPr>
          <w:rFonts w:hint="eastAsia" w:ascii="方正小标宋简体" w:hAnsi="宋体" w:eastAsia="方正小标宋简体" w:cs="Times New Roman"/>
          <w:b/>
          <w:sz w:val="24"/>
          <w:szCs w:val="24"/>
        </w:rPr>
        <w:t>采购需求及响应报价表</w:t>
      </w:r>
    </w:p>
    <w:p w14:paraId="352C7F89">
      <w:pPr>
        <w:spacing w:line="400" w:lineRule="exact"/>
        <w:rPr>
          <w:rFonts w:ascii="宋体" w:hAnsi="宋体" w:eastAsia="宋体" w:cs="Times New Roman"/>
          <w:b/>
          <w:sz w:val="24"/>
          <w:szCs w:val="24"/>
        </w:rPr>
      </w:pPr>
    </w:p>
    <w:p w14:paraId="274FE4BC">
      <w:pPr>
        <w:spacing w:line="360" w:lineRule="atLeast"/>
        <w:ind w:right="380"/>
        <w:rPr>
          <w:rFonts w:ascii="宋体" w:hAnsi="宋体" w:eastAsia="宋体" w:cs="宋体"/>
          <w:sz w:val="21"/>
          <w:szCs w:val="21"/>
        </w:rPr>
      </w:pPr>
      <w:r>
        <w:rPr>
          <w:rFonts w:hint="eastAsia" w:ascii="宋体" w:hAnsi="宋体" w:eastAsia="宋体" w:cs="Times New Roman"/>
          <w:b/>
          <w:bCs/>
          <w:sz w:val="24"/>
          <w:szCs w:val="24"/>
        </w:rPr>
        <w:t>项目名称：</w:t>
      </w:r>
      <w:bookmarkStart w:id="0" w:name="OLE_LINK1"/>
      <w:bookmarkStart w:id="1" w:name="OLE_LINK2"/>
      <w:r>
        <w:rPr>
          <w:rFonts w:ascii="宋体" w:hAnsi="宋体" w:eastAsia="宋体" w:cs="宋体"/>
          <w:b/>
          <w:bCs/>
          <w:sz w:val="21"/>
          <w:szCs w:val="21"/>
        </w:rPr>
        <w:t>广西中医药大学2025年医疗废物委托处置服务</w:t>
      </w:r>
      <w:bookmarkEnd w:id="0"/>
    </w:p>
    <w:p w14:paraId="32E01842">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rPr>
          <w:rFonts w:hint="eastAsia"/>
        </w:rPr>
        <w:t xml:space="preserve">  </w:t>
      </w:r>
      <w:r>
        <w:rPr>
          <w:rFonts w:ascii="宋体" w:hAnsi="宋体" w:eastAsia="宋体" w:cs="宋体"/>
          <w:b/>
          <w:bCs/>
          <w:sz w:val="21"/>
          <w:szCs w:val="21"/>
        </w:rPr>
        <w:t>GUCM-2024-XJ-032-LF</w:t>
      </w:r>
    </w:p>
    <w:bookmarkEnd w:id="1"/>
    <w:p w14:paraId="3123FE9C">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14:paraId="50A0B5BD">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14:paraId="6F7A2773">
      <w:pPr>
        <w:spacing w:line="360" w:lineRule="exact"/>
        <w:ind w:left="-10" w:leftChars="-5" w:right="2" w:rightChars="1" w:firstLine="422" w:firstLineChars="200"/>
        <w:rPr>
          <w:rFonts w:ascii="宋体" w:hAnsi="宋体" w:eastAsia="宋体" w:cs="Times New Roman"/>
          <w:b/>
          <w:bCs/>
          <w:szCs w:val="21"/>
        </w:rPr>
      </w:pPr>
    </w:p>
    <w:tbl>
      <w:tblPr>
        <w:tblStyle w:val="7"/>
        <w:tblW w:w="90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1"/>
        <w:gridCol w:w="126"/>
        <w:gridCol w:w="2002"/>
        <w:gridCol w:w="1133"/>
        <w:gridCol w:w="709"/>
        <w:gridCol w:w="2127"/>
        <w:gridCol w:w="2231"/>
      </w:tblGrid>
      <w:tr w14:paraId="68A6A8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14:paraId="71B51C8F">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14:paraId="0D93E2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27" w:type="dxa"/>
            <w:gridSpan w:val="2"/>
            <w:tcBorders>
              <w:top w:val="single" w:color="auto" w:sz="4" w:space="0"/>
              <w:left w:val="single" w:color="auto" w:sz="4" w:space="0"/>
              <w:bottom w:val="single" w:color="auto" w:sz="4" w:space="0"/>
              <w:right w:val="single" w:color="auto" w:sz="4" w:space="0"/>
            </w:tcBorders>
            <w:vAlign w:val="center"/>
          </w:tcPr>
          <w:p w14:paraId="0FA21976">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2" w:type="dxa"/>
            <w:tcBorders>
              <w:top w:val="single" w:color="auto" w:sz="4" w:space="0"/>
              <w:left w:val="single" w:color="auto" w:sz="4" w:space="0"/>
              <w:bottom w:val="single" w:color="auto" w:sz="4" w:space="0"/>
              <w:right w:val="single" w:color="auto" w:sz="4" w:space="0"/>
            </w:tcBorders>
            <w:vAlign w:val="center"/>
          </w:tcPr>
          <w:p w14:paraId="349C5A2D">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3" w:type="dxa"/>
            <w:tcBorders>
              <w:top w:val="single" w:color="auto" w:sz="4" w:space="0"/>
              <w:left w:val="single" w:color="auto" w:sz="4" w:space="0"/>
              <w:bottom w:val="single" w:color="auto" w:sz="4" w:space="0"/>
              <w:right w:val="single" w:color="auto" w:sz="4" w:space="0"/>
            </w:tcBorders>
            <w:vAlign w:val="center"/>
          </w:tcPr>
          <w:p w14:paraId="74371A71">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067" w:type="dxa"/>
            <w:gridSpan w:val="3"/>
            <w:tcBorders>
              <w:top w:val="single" w:color="auto" w:sz="4" w:space="0"/>
              <w:left w:val="single" w:color="auto" w:sz="4" w:space="0"/>
              <w:bottom w:val="single" w:color="auto" w:sz="4" w:space="0"/>
              <w:right w:val="single" w:color="auto" w:sz="4" w:space="0"/>
            </w:tcBorders>
            <w:vAlign w:val="center"/>
          </w:tcPr>
          <w:p w14:paraId="6E1D1FEC">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14:paraId="44B17D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827" w:type="dxa"/>
            <w:gridSpan w:val="2"/>
            <w:tcBorders>
              <w:top w:val="single" w:color="auto" w:sz="4" w:space="0"/>
              <w:left w:val="single" w:color="auto" w:sz="4" w:space="0"/>
              <w:bottom w:val="single" w:color="auto" w:sz="4" w:space="0"/>
              <w:right w:val="single" w:color="auto" w:sz="4" w:space="0"/>
            </w:tcBorders>
            <w:vAlign w:val="center"/>
          </w:tcPr>
          <w:p w14:paraId="1974445F">
            <w:pPr>
              <w:spacing w:line="360" w:lineRule="auto"/>
              <w:jc w:val="center"/>
              <w:rPr>
                <w:rFonts w:ascii="宋体" w:hAnsi="宋体" w:eastAsia="宋体" w:cs="Times New Roman"/>
                <w:b/>
                <w:szCs w:val="21"/>
              </w:rPr>
            </w:pPr>
            <w:r>
              <w:rPr>
                <w:rFonts w:ascii="宋体" w:hAnsi="宋体" w:eastAsia="宋体" w:cs="宋体"/>
                <w:b/>
                <w:bCs/>
                <w:sz w:val="21"/>
                <w:szCs w:val="21"/>
              </w:rPr>
              <w:t>广西中医药大学2025年医疗废物委托处置服务</w:t>
            </w:r>
          </w:p>
        </w:tc>
        <w:tc>
          <w:tcPr>
            <w:tcW w:w="2002" w:type="dxa"/>
            <w:tcBorders>
              <w:top w:val="single" w:color="auto" w:sz="4" w:space="0"/>
              <w:left w:val="single" w:color="auto" w:sz="4" w:space="0"/>
              <w:bottom w:val="single" w:color="auto" w:sz="4" w:space="0"/>
              <w:right w:val="single" w:color="auto" w:sz="4" w:space="0"/>
            </w:tcBorders>
            <w:vAlign w:val="center"/>
          </w:tcPr>
          <w:p w14:paraId="059E09B5">
            <w:pPr>
              <w:autoSpaceDE w:val="0"/>
              <w:autoSpaceDN w:val="0"/>
              <w:adjustRightInd w:val="0"/>
              <w:snapToGrid w:val="0"/>
              <w:rPr>
                <w:rFonts w:ascii="宋体" w:hAnsi="宋体" w:eastAsia="宋体" w:cs="Times New Roman"/>
                <w:szCs w:val="21"/>
              </w:rPr>
            </w:pPr>
            <w:r>
              <w:rPr>
                <w:rFonts w:ascii="宋体" w:hAnsi="宋体" w:eastAsia="宋体" w:cs="宋体"/>
                <w:b/>
                <w:bCs/>
                <w:sz w:val="21"/>
                <w:szCs w:val="21"/>
              </w:rPr>
              <w:t>广西中医药大学2025年医疗废物委托处置服务</w:t>
            </w:r>
          </w:p>
        </w:tc>
        <w:tc>
          <w:tcPr>
            <w:tcW w:w="1133" w:type="dxa"/>
            <w:tcBorders>
              <w:top w:val="single" w:color="auto" w:sz="4" w:space="0"/>
              <w:left w:val="single" w:color="auto" w:sz="4" w:space="0"/>
              <w:bottom w:val="single" w:color="auto" w:sz="4" w:space="0"/>
              <w:right w:val="single" w:color="auto" w:sz="4" w:space="0"/>
            </w:tcBorders>
            <w:vAlign w:val="center"/>
          </w:tcPr>
          <w:p w14:paraId="143090B5">
            <w:pPr>
              <w:spacing w:line="360" w:lineRule="auto"/>
              <w:jc w:val="center"/>
              <w:rPr>
                <w:rFonts w:hint="eastAsia" w:ascii="宋体" w:hAnsi="宋体" w:eastAsia="宋体" w:cs="Times New Roman"/>
                <w:b w:val="0"/>
                <w:bCs w:val="0"/>
                <w:szCs w:val="21"/>
                <w:lang w:eastAsia="zh-CN"/>
              </w:rPr>
            </w:pPr>
            <w:r>
              <w:rPr>
                <w:rFonts w:hint="eastAsia" w:ascii="宋体" w:hAnsi="宋体" w:eastAsia="宋体" w:cs="Times New Roman"/>
                <w:b w:val="0"/>
                <w:bCs w:val="0"/>
                <w:szCs w:val="21"/>
                <w:lang w:eastAsia="zh-CN"/>
              </w:rPr>
              <w:t>全年</w:t>
            </w:r>
          </w:p>
        </w:tc>
        <w:tc>
          <w:tcPr>
            <w:tcW w:w="5067" w:type="dxa"/>
            <w:gridSpan w:val="3"/>
            <w:tcBorders>
              <w:top w:val="single" w:color="auto" w:sz="4" w:space="0"/>
              <w:left w:val="single" w:color="auto" w:sz="4" w:space="0"/>
              <w:bottom w:val="single" w:color="auto" w:sz="4" w:space="0"/>
              <w:right w:val="single" w:color="auto" w:sz="4" w:space="0"/>
            </w:tcBorders>
            <w:vAlign w:val="center"/>
          </w:tcPr>
          <w:p w14:paraId="21243A56">
            <w:pPr>
              <w:pStyle w:val="2"/>
              <w:keepNext w:val="0"/>
              <w:keepLines w:val="0"/>
              <w:widowControl/>
              <w:suppressLineNumbers w:val="0"/>
              <w:shd w:val="clear" w:fill="FFFFFF"/>
              <w:spacing w:before="0" w:beforeAutospacing="0" w:after="30" w:afterAutospacing="0" w:line="450" w:lineRule="atLeast"/>
              <w:ind w:left="0" w:right="0" w:firstLine="0"/>
              <w:rPr>
                <w:rFonts w:ascii="Segoe UI" w:hAnsi="Segoe UI" w:eastAsia="Segoe UI" w:cs="Segoe UI"/>
                <w:b/>
                <w:bCs/>
                <w:i w:val="0"/>
                <w:iCs w:val="0"/>
                <w:caps w:val="0"/>
                <w:spacing w:val="0"/>
                <w:sz w:val="27"/>
                <w:szCs w:val="27"/>
                <w:u w:val="single"/>
              </w:rPr>
            </w:pPr>
            <w:r>
              <w:rPr>
                <w:rFonts w:hint="default" w:ascii="Segoe UI" w:hAnsi="Segoe UI" w:eastAsia="Segoe UI" w:cs="Segoe UI"/>
                <w:b/>
                <w:bCs/>
                <w:i w:val="0"/>
                <w:iCs w:val="0"/>
                <w:caps w:val="0"/>
                <w:spacing w:val="0"/>
                <w:sz w:val="27"/>
                <w:szCs w:val="27"/>
                <w:u w:val="single"/>
                <w:shd w:val="clear" w:fill="FFFFFF"/>
              </w:rPr>
              <w:t>1. 服务内容和要求</w:t>
            </w:r>
          </w:p>
          <w:p w14:paraId="5C122ECD">
            <w:pPr>
              <w:pStyle w:val="6"/>
              <w:keepNext w:val="0"/>
              <w:keepLines w:val="0"/>
              <w:widowControl/>
              <w:suppressLineNumbers w:val="0"/>
              <w:shd w:val="clear" w:fill="FFFFFF"/>
              <w:spacing w:before="0" w:beforeAutospacing="0" w:after="180" w:afterAutospacing="0"/>
              <w:ind w:left="0" w:right="0" w:firstLine="0"/>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医疗废物的采购需求首先明确了服务的内容和要求。供应商需要按照采购人规定的时间和路线，将一定区域内的医疗废物安全收集运输到指定位置。在这个过程中，供应商必须严格遵循国家医废运输相关法律法规和地方行业规章，确保医疗废物的收集、贮存、交接、运输、处置全过程的智能化管理。此外，供应商还需要利用信息化手段提供医废转运信息和数据，保证转移联单内容和服务过程中信息的准确性和真实性</w:t>
            </w:r>
            <w:r>
              <w:rPr>
                <w:rFonts w:hint="default" w:ascii="Segoe UI" w:hAnsi="Segoe UI" w:eastAsia="Segoe UI" w:cs="Segoe UI"/>
                <w:b/>
                <w:bCs/>
                <w:i w:val="0"/>
                <w:iCs w:val="0"/>
                <w:caps w:val="0"/>
                <w:color w:val="1677FF"/>
                <w:spacing w:val="0"/>
                <w:sz w:val="18"/>
                <w:szCs w:val="18"/>
                <w:u w:val="none"/>
                <w:shd w:val="clear" w:fill="FFFFFF"/>
              </w:rPr>
              <w:fldChar w:fldCharType="begin"/>
            </w:r>
            <w:r>
              <w:rPr>
                <w:rFonts w:hint="default" w:ascii="Segoe UI" w:hAnsi="Segoe UI" w:eastAsia="Segoe UI" w:cs="Segoe UI"/>
                <w:b/>
                <w:bCs/>
                <w:i w:val="0"/>
                <w:iCs w:val="0"/>
                <w:caps w:val="0"/>
                <w:color w:val="1677FF"/>
                <w:spacing w:val="0"/>
                <w:sz w:val="18"/>
                <w:szCs w:val="18"/>
                <w:u w:val="none"/>
                <w:shd w:val="clear" w:fill="FFFFFF"/>
              </w:rPr>
              <w:instrText xml:space="preserve"> HYPERLINK "http://www.ccgp-qingdao.gov.cn/sdgp2014/api/file/2024/03/15/861db880-0e68-4af4-b73d-88419366a48a.pdf/%E9%87%87%E8%B4%AD%E9%9C%80%E6%B1%82.pdf" \t "https://www.sou.com/search/_blank" </w:instrText>
            </w:r>
            <w:r>
              <w:rPr>
                <w:rFonts w:hint="default" w:ascii="Segoe UI" w:hAnsi="Segoe UI" w:eastAsia="Segoe UI" w:cs="Segoe UI"/>
                <w:b/>
                <w:bCs/>
                <w:i w:val="0"/>
                <w:iCs w:val="0"/>
                <w:caps w:val="0"/>
                <w:color w:val="1677FF"/>
                <w:spacing w:val="0"/>
                <w:sz w:val="18"/>
                <w:szCs w:val="18"/>
                <w:u w:val="none"/>
                <w:shd w:val="clear" w:fill="FFFFFF"/>
              </w:rPr>
              <w:fldChar w:fldCharType="separate"/>
            </w:r>
            <w:r>
              <w:rPr>
                <w:rStyle w:val="10"/>
                <w:rFonts w:hint="default" w:ascii="Segoe UI" w:hAnsi="Segoe UI" w:eastAsia="Segoe UI" w:cs="Segoe UI"/>
                <w:b/>
                <w:bCs/>
                <w:i w:val="0"/>
                <w:iCs w:val="0"/>
                <w:caps w:val="0"/>
                <w:color w:val="1677FF"/>
                <w:spacing w:val="0"/>
                <w:sz w:val="18"/>
                <w:szCs w:val="18"/>
                <w:u w:val="none"/>
                <w:shd w:val="clear" w:fill="FFFFFF"/>
              </w:rPr>
              <w:t>1</w:t>
            </w:r>
            <w:r>
              <w:rPr>
                <w:rFonts w:hint="default" w:ascii="Segoe UI" w:hAnsi="Segoe UI" w:eastAsia="Segoe UI" w:cs="Segoe UI"/>
                <w:b/>
                <w:bCs/>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24"/>
                <w:szCs w:val="24"/>
                <w:shd w:val="clear" w:fill="FFFFFF"/>
              </w:rPr>
              <w:t>。</w:t>
            </w:r>
          </w:p>
          <w:p w14:paraId="45F0EDCC">
            <w:pPr>
              <w:pStyle w:val="2"/>
              <w:keepNext w:val="0"/>
              <w:keepLines w:val="0"/>
              <w:widowControl/>
              <w:suppressLineNumbers w:val="0"/>
              <w:shd w:val="clear" w:fill="FFFFFF"/>
              <w:spacing w:before="0" w:beforeAutospacing="0" w:after="30" w:afterAutospacing="0" w:line="450" w:lineRule="atLeast"/>
              <w:ind w:left="0" w:right="0" w:firstLine="0"/>
              <w:rPr>
                <w:rFonts w:hint="default" w:ascii="Segoe UI" w:hAnsi="Segoe UI" w:eastAsia="Segoe UI" w:cs="Segoe UI"/>
                <w:b/>
                <w:bCs/>
                <w:i w:val="0"/>
                <w:iCs w:val="0"/>
                <w:caps w:val="0"/>
                <w:spacing w:val="0"/>
                <w:sz w:val="27"/>
                <w:szCs w:val="27"/>
                <w:u w:val="single"/>
              </w:rPr>
            </w:pPr>
            <w:r>
              <w:rPr>
                <w:rFonts w:hint="default" w:ascii="Segoe UI" w:hAnsi="Segoe UI" w:eastAsia="Segoe UI" w:cs="Segoe UI"/>
                <w:b/>
                <w:bCs/>
                <w:i w:val="0"/>
                <w:iCs w:val="0"/>
                <w:caps w:val="0"/>
                <w:spacing w:val="0"/>
                <w:sz w:val="27"/>
                <w:szCs w:val="27"/>
                <w:u w:val="single"/>
                <w:shd w:val="clear" w:fill="FFFFFF"/>
              </w:rPr>
              <w:t>2. 转运和车辆要求</w:t>
            </w:r>
          </w:p>
          <w:p w14:paraId="6BAB571C">
            <w:pPr>
              <w:pStyle w:val="6"/>
              <w:keepNext w:val="0"/>
              <w:keepLines w:val="0"/>
              <w:widowControl/>
              <w:suppressLineNumbers w:val="0"/>
              <w:shd w:val="clear" w:fill="FFFFFF"/>
              <w:spacing w:before="0" w:beforeAutospacing="0" w:after="180" w:afterAutospacing="0"/>
              <w:ind w:left="0" w:right="0" w:firstLine="0"/>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医疗废物的转运部分要求转运人员必须经过相关法律、专业技术、安全防护和安全管理等方面的培训。转运交接必须有交接登记，实行双签字制度，所有原始交接资料妥善保存5年。医疗废物集中收运处置单位需要核实医疗废物的种类、数量、标识等，检查外包装是否完好。运送工作结束后，要对运送工具和车辆及时进行清洁、消毒并留有洗消记录。转运车辆需要配备密闭厢型车，车厢内部应采用防水、耐腐蚀、便于消毒和清洗的材料，并经防渗处理，防止渗漏。车辆还应配备车载定位系统和可视监控系统，车内应配备相应的应急处理器材和安全消毒防护设备</w:t>
            </w:r>
            <w:r>
              <w:rPr>
                <w:rFonts w:hint="default" w:ascii="Segoe UI" w:hAnsi="Segoe UI" w:eastAsia="Segoe UI" w:cs="Segoe UI"/>
                <w:b/>
                <w:bCs/>
                <w:i w:val="0"/>
                <w:iCs w:val="0"/>
                <w:caps w:val="0"/>
                <w:color w:val="1677FF"/>
                <w:spacing w:val="0"/>
                <w:sz w:val="18"/>
                <w:szCs w:val="18"/>
                <w:u w:val="none"/>
                <w:shd w:val="clear" w:fill="FFFFFF"/>
              </w:rPr>
              <w:fldChar w:fldCharType="begin"/>
            </w:r>
            <w:r>
              <w:rPr>
                <w:rFonts w:hint="default" w:ascii="Segoe UI" w:hAnsi="Segoe UI" w:eastAsia="Segoe UI" w:cs="Segoe UI"/>
                <w:b/>
                <w:bCs/>
                <w:i w:val="0"/>
                <w:iCs w:val="0"/>
                <w:caps w:val="0"/>
                <w:color w:val="1677FF"/>
                <w:spacing w:val="0"/>
                <w:sz w:val="18"/>
                <w:szCs w:val="18"/>
                <w:u w:val="none"/>
                <w:shd w:val="clear" w:fill="FFFFFF"/>
              </w:rPr>
              <w:instrText xml:space="preserve"> HYPERLINK "http://www.ccgp-qingdao.gov.cn/sdgp2014/api/file/2024/03/15/861db880-0e68-4af4-b73d-88419366a48a.pdf/%E9%87%87%E8%B4%AD%E9%9C%80%E6%B1%82.pdf" \t "https://www.sou.com/search/_blank" </w:instrText>
            </w:r>
            <w:r>
              <w:rPr>
                <w:rFonts w:hint="default" w:ascii="Segoe UI" w:hAnsi="Segoe UI" w:eastAsia="Segoe UI" w:cs="Segoe UI"/>
                <w:b/>
                <w:bCs/>
                <w:i w:val="0"/>
                <w:iCs w:val="0"/>
                <w:caps w:val="0"/>
                <w:color w:val="1677FF"/>
                <w:spacing w:val="0"/>
                <w:sz w:val="18"/>
                <w:szCs w:val="18"/>
                <w:u w:val="none"/>
                <w:shd w:val="clear" w:fill="FFFFFF"/>
              </w:rPr>
              <w:fldChar w:fldCharType="separate"/>
            </w:r>
            <w:r>
              <w:rPr>
                <w:rStyle w:val="10"/>
                <w:rFonts w:hint="default" w:ascii="Segoe UI" w:hAnsi="Segoe UI" w:eastAsia="Segoe UI" w:cs="Segoe UI"/>
                <w:b/>
                <w:bCs/>
                <w:i w:val="0"/>
                <w:iCs w:val="0"/>
                <w:caps w:val="0"/>
                <w:color w:val="1677FF"/>
                <w:spacing w:val="0"/>
                <w:sz w:val="18"/>
                <w:szCs w:val="18"/>
                <w:u w:val="none"/>
                <w:shd w:val="clear" w:fill="FFFFFF"/>
              </w:rPr>
              <w:t>1</w:t>
            </w:r>
            <w:r>
              <w:rPr>
                <w:rFonts w:hint="default" w:ascii="Segoe UI" w:hAnsi="Segoe UI" w:eastAsia="Segoe UI" w:cs="Segoe UI"/>
                <w:b/>
                <w:bCs/>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24"/>
                <w:szCs w:val="24"/>
                <w:shd w:val="clear" w:fill="FFFFFF"/>
              </w:rPr>
              <w:t>。</w:t>
            </w:r>
          </w:p>
          <w:p w14:paraId="3F69AE25">
            <w:pPr>
              <w:pStyle w:val="2"/>
              <w:keepNext w:val="0"/>
              <w:keepLines w:val="0"/>
              <w:widowControl/>
              <w:suppressLineNumbers w:val="0"/>
              <w:shd w:val="clear" w:fill="FFFFFF"/>
              <w:spacing w:before="0" w:beforeAutospacing="0" w:after="30" w:afterAutospacing="0" w:line="450" w:lineRule="atLeast"/>
              <w:ind w:left="0" w:right="0" w:firstLine="0"/>
              <w:rPr>
                <w:rFonts w:hint="default" w:ascii="Segoe UI" w:hAnsi="Segoe UI" w:eastAsia="Segoe UI" w:cs="Segoe UI"/>
                <w:b/>
                <w:bCs/>
                <w:i w:val="0"/>
                <w:iCs w:val="0"/>
                <w:caps w:val="0"/>
                <w:spacing w:val="0"/>
                <w:sz w:val="27"/>
                <w:szCs w:val="27"/>
                <w:u w:val="single"/>
              </w:rPr>
            </w:pPr>
            <w:r>
              <w:rPr>
                <w:rFonts w:hint="default" w:ascii="Segoe UI" w:hAnsi="Segoe UI" w:eastAsia="Segoe UI" w:cs="Segoe UI"/>
                <w:b/>
                <w:bCs/>
                <w:i w:val="0"/>
                <w:iCs w:val="0"/>
                <w:caps w:val="0"/>
                <w:spacing w:val="0"/>
                <w:sz w:val="27"/>
                <w:szCs w:val="27"/>
                <w:u w:val="single"/>
                <w:shd w:val="clear" w:fill="FFFFFF"/>
              </w:rPr>
              <w:t>3. 运营服务要求</w:t>
            </w:r>
          </w:p>
          <w:p w14:paraId="1988B366">
            <w:pPr>
              <w:pStyle w:val="6"/>
              <w:keepNext w:val="0"/>
              <w:keepLines w:val="0"/>
              <w:widowControl/>
              <w:suppressLineNumbers w:val="0"/>
              <w:shd w:val="clear" w:fill="FFFFFF"/>
              <w:spacing w:before="0" w:beforeAutospacing="0" w:after="180" w:afterAutospacing="0"/>
              <w:ind w:left="0" w:right="0" w:firstLine="0"/>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运营服务要求包括配备合格的驾驶员和医废收集人员，定期进行相关操作人员的医疗废物运输相关培训。相关工作人员应按要求统一着装，配备防护服、口罩、劳保鞋、一次性手套、消毒液等防护用品。医废收集人员应在小型医疗机构现场核实医疗废物并确认称重后，如实填写《危险废物转移联单》中的相关内容并签字确认。供应商应当制定医疗废物转运应急预案，配备应急预备救援人员和车辆、必要的应急救援器材和设备</w:t>
            </w:r>
            <w:r>
              <w:rPr>
                <w:rFonts w:hint="default" w:ascii="Segoe UI" w:hAnsi="Segoe UI" w:eastAsia="Segoe UI" w:cs="Segoe UI"/>
                <w:b/>
                <w:bCs/>
                <w:i w:val="0"/>
                <w:iCs w:val="0"/>
                <w:caps w:val="0"/>
                <w:color w:val="1677FF"/>
                <w:spacing w:val="0"/>
                <w:sz w:val="18"/>
                <w:szCs w:val="18"/>
                <w:u w:val="none"/>
                <w:shd w:val="clear" w:fill="FFFFFF"/>
              </w:rPr>
              <w:fldChar w:fldCharType="begin"/>
            </w:r>
            <w:r>
              <w:rPr>
                <w:rFonts w:hint="default" w:ascii="Segoe UI" w:hAnsi="Segoe UI" w:eastAsia="Segoe UI" w:cs="Segoe UI"/>
                <w:b/>
                <w:bCs/>
                <w:i w:val="0"/>
                <w:iCs w:val="0"/>
                <w:caps w:val="0"/>
                <w:color w:val="1677FF"/>
                <w:spacing w:val="0"/>
                <w:sz w:val="18"/>
                <w:szCs w:val="18"/>
                <w:u w:val="none"/>
                <w:shd w:val="clear" w:fill="FFFFFF"/>
              </w:rPr>
              <w:instrText xml:space="preserve"> HYPERLINK "http://www.ccgp-qingdao.gov.cn/sdgp2014/api/file/2024/03/15/861db880-0e68-4af4-b73d-88419366a48a.pdf/%E9%87%87%E8%B4%AD%E9%9C%80%E6%B1%82.pdf" \t "https://www.sou.com/search/_blank" </w:instrText>
            </w:r>
            <w:r>
              <w:rPr>
                <w:rFonts w:hint="default" w:ascii="Segoe UI" w:hAnsi="Segoe UI" w:eastAsia="Segoe UI" w:cs="Segoe UI"/>
                <w:b/>
                <w:bCs/>
                <w:i w:val="0"/>
                <w:iCs w:val="0"/>
                <w:caps w:val="0"/>
                <w:color w:val="1677FF"/>
                <w:spacing w:val="0"/>
                <w:sz w:val="18"/>
                <w:szCs w:val="18"/>
                <w:u w:val="none"/>
                <w:shd w:val="clear" w:fill="FFFFFF"/>
              </w:rPr>
              <w:fldChar w:fldCharType="separate"/>
            </w:r>
            <w:r>
              <w:rPr>
                <w:rStyle w:val="10"/>
                <w:rFonts w:hint="default" w:ascii="Segoe UI" w:hAnsi="Segoe UI" w:eastAsia="Segoe UI" w:cs="Segoe UI"/>
                <w:b/>
                <w:bCs/>
                <w:i w:val="0"/>
                <w:iCs w:val="0"/>
                <w:caps w:val="0"/>
                <w:color w:val="1677FF"/>
                <w:spacing w:val="0"/>
                <w:sz w:val="18"/>
                <w:szCs w:val="18"/>
                <w:u w:val="none"/>
                <w:shd w:val="clear" w:fill="FFFFFF"/>
              </w:rPr>
              <w:t>1</w:t>
            </w:r>
            <w:r>
              <w:rPr>
                <w:rFonts w:hint="default" w:ascii="Segoe UI" w:hAnsi="Segoe UI" w:eastAsia="Segoe UI" w:cs="Segoe UI"/>
                <w:b/>
                <w:bCs/>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24"/>
                <w:szCs w:val="24"/>
                <w:shd w:val="clear" w:fill="FFFFFF"/>
              </w:rPr>
              <w:t>。</w:t>
            </w:r>
          </w:p>
          <w:p w14:paraId="28071104">
            <w:pPr>
              <w:pStyle w:val="2"/>
              <w:keepNext w:val="0"/>
              <w:keepLines w:val="0"/>
              <w:widowControl/>
              <w:suppressLineNumbers w:val="0"/>
              <w:shd w:val="clear" w:fill="FFFFFF"/>
              <w:spacing w:before="0" w:beforeAutospacing="0" w:after="30" w:afterAutospacing="0" w:line="450" w:lineRule="atLeast"/>
              <w:ind w:left="0" w:right="0" w:firstLine="0"/>
              <w:rPr>
                <w:rFonts w:hint="default" w:ascii="Segoe UI" w:hAnsi="Segoe UI" w:eastAsia="Segoe UI" w:cs="Segoe UI"/>
                <w:b/>
                <w:bCs/>
                <w:i w:val="0"/>
                <w:iCs w:val="0"/>
                <w:caps w:val="0"/>
                <w:spacing w:val="0"/>
                <w:sz w:val="27"/>
                <w:szCs w:val="27"/>
                <w:u w:val="single"/>
              </w:rPr>
            </w:pPr>
            <w:r>
              <w:rPr>
                <w:rFonts w:hint="default" w:ascii="Segoe UI" w:hAnsi="Segoe UI" w:eastAsia="Segoe UI" w:cs="Segoe UI"/>
                <w:b/>
                <w:bCs/>
                <w:i w:val="0"/>
                <w:iCs w:val="0"/>
                <w:caps w:val="0"/>
                <w:spacing w:val="0"/>
                <w:sz w:val="27"/>
                <w:szCs w:val="27"/>
                <w:u w:val="single"/>
                <w:shd w:val="clear" w:fill="FFFFFF"/>
              </w:rPr>
              <w:t>4. 管理和技术要求</w:t>
            </w:r>
          </w:p>
          <w:p w14:paraId="70F38DC6">
            <w:pPr>
              <w:pStyle w:val="6"/>
              <w:keepNext w:val="0"/>
              <w:keepLines w:val="0"/>
              <w:widowControl/>
              <w:suppressLineNumbers w:val="0"/>
              <w:shd w:val="clear" w:fill="FFFFFF"/>
              <w:spacing w:before="0" w:beforeAutospacing="0" w:after="180" w:afterAutospacing="0"/>
              <w:ind w:left="0" w:right="0" w:firstLine="0"/>
              <w:rPr>
                <w:rFonts w:hint="default" w:ascii="Segoe UI" w:hAnsi="Segoe UI" w:eastAsia="Segoe UI" w:cs="Segoe UI"/>
                <w:i w:val="0"/>
                <w:iCs w:val="0"/>
                <w:caps w:val="0"/>
                <w:spacing w:val="0"/>
                <w:sz w:val="24"/>
                <w:szCs w:val="24"/>
              </w:rPr>
            </w:pPr>
            <w:r>
              <w:rPr>
                <w:rFonts w:hint="default" w:ascii="Segoe UI" w:hAnsi="Segoe UI" w:eastAsia="Segoe UI" w:cs="Segoe UI"/>
                <w:i w:val="0"/>
                <w:iCs w:val="0"/>
                <w:caps w:val="0"/>
                <w:spacing w:val="0"/>
                <w:sz w:val="24"/>
                <w:szCs w:val="24"/>
                <w:shd w:val="clear" w:fill="FFFFFF"/>
              </w:rPr>
              <w:t>供应商需要建立一套医疗机构分类投放、分类收集、分类贮存、分类交接、分类转运的医疗废弃物管理系统，充分利用电子标签、二维码等信息化技术手段，确保医疗机构废弃物应分尽分和可追溯。供应商还要利用信息化手段提供医废转运信息和数据，及时反馈业务进展情况，保证转移联单内容和服务过程中信息的准确性和真实性</w:t>
            </w:r>
            <w:r>
              <w:rPr>
                <w:rFonts w:hint="default" w:ascii="Segoe UI" w:hAnsi="Segoe UI" w:eastAsia="Segoe UI" w:cs="Segoe UI"/>
                <w:b/>
                <w:bCs/>
                <w:i w:val="0"/>
                <w:iCs w:val="0"/>
                <w:caps w:val="0"/>
                <w:color w:val="1677FF"/>
                <w:spacing w:val="0"/>
                <w:sz w:val="18"/>
                <w:szCs w:val="18"/>
                <w:u w:val="none"/>
                <w:shd w:val="clear" w:fill="FFFFFF"/>
              </w:rPr>
              <w:fldChar w:fldCharType="begin"/>
            </w:r>
            <w:r>
              <w:rPr>
                <w:rFonts w:hint="default" w:ascii="Segoe UI" w:hAnsi="Segoe UI" w:eastAsia="Segoe UI" w:cs="Segoe UI"/>
                <w:b/>
                <w:bCs/>
                <w:i w:val="0"/>
                <w:iCs w:val="0"/>
                <w:caps w:val="0"/>
                <w:color w:val="1677FF"/>
                <w:spacing w:val="0"/>
                <w:sz w:val="18"/>
                <w:szCs w:val="18"/>
                <w:u w:val="none"/>
                <w:shd w:val="clear" w:fill="FFFFFF"/>
              </w:rPr>
              <w:instrText xml:space="preserve"> HYPERLINK "http://www.ccgp-qingdao.gov.cn/sdgp2014/api/file/2024/03/15/861db880-0e68-4af4-b73d-88419366a48a.pdf/%E9%87%87%E8%B4%AD%E9%9C%80%E6%B1%82.pdf" \t "https://www.sou.com/search/_blank" </w:instrText>
            </w:r>
            <w:r>
              <w:rPr>
                <w:rFonts w:hint="default" w:ascii="Segoe UI" w:hAnsi="Segoe UI" w:eastAsia="Segoe UI" w:cs="Segoe UI"/>
                <w:b/>
                <w:bCs/>
                <w:i w:val="0"/>
                <w:iCs w:val="0"/>
                <w:caps w:val="0"/>
                <w:color w:val="1677FF"/>
                <w:spacing w:val="0"/>
                <w:sz w:val="18"/>
                <w:szCs w:val="18"/>
                <w:u w:val="none"/>
                <w:shd w:val="clear" w:fill="FFFFFF"/>
              </w:rPr>
              <w:fldChar w:fldCharType="separate"/>
            </w:r>
            <w:r>
              <w:rPr>
                <w:rStyle w:val="10"/>
                <w:rFonts w:hint="default" w:ascii="Segoe UI" w:hAnsi="Segoe UI" w:eastAsia="Segoe UI" w:cs="Segoe UI"/>
                <w:b/>
                <w:bCs/>
                <w:i w:val="0"/>
                <w:iCs w:val="0"/>
                <w:caps w:val="0"/>
                <w:color w:val="1677FF"/>
                <w:spacing w:val="0"/>
                <w:sz w:val="18"/>
                <w:szCs w:val="18"/>
                <w:u w:val="none"/>
                <w:shd w:val="clear" w:fill="FFFFFF"/>
              </w:rPr>
              <w:t>1</w:t>
            </w:r>
            <w:r>
              <w:rPr>
                <w:rFonts w:hint="default" w:ascii="Segoe UI" w:hAnsi="Segoe UI" w:eastAsia="Segoe UI" w:cs="Segoe UI"/>
                <w:b/>
                <w:bCs/>
                <w:i w:val="0"/>
                <w:iCs w:val="0"/>
                <w:caps w:val="0"/>
                <w:color w:val="1677FF"/>
                <w:spacing w:val="0"/>
                <w:sz w:val="18"/>
                <w:szCs w:val="18"/>
                <w:u w:val="none"/>
                <w:shd w:val="clear" w:fill="FFFFFF"/>
              </w:rPr>
              <w:fldChar w:fldCharType="end"/>
            </w:r>
            <w:r>
              <w:rPr>
                <w:rFonts w:hint="default" w:ascii="Segoe UI" w:hAnsi="Segoe UI" w:eastAsia="Segoe UI" w:cs="Segoe UI"/>
                <w:i w:val="0"/>
                <w:iCs w:val="0"/>
                <w:caps w:val="0"/>
                <w:spacing w:val="0"/>
                <w:sz w:val="24"/>
                <w:szCs w:val="24"/>
                <w:shd w:val="clear" w:fill="FFFFFF"/>
              </w:rPr>
              <w:t>。</w:t>
            </w:r>
          </w:p>
          <w:p w14:paraId="150CD483">
            <w:pPr>
              <w:pStyle w:val="2"/>
              <w:keepNext w:val="0"/>
              <w:keepLines w:val="0"/>
              <w:widowControl/>
              <w:suppressLineNumbers w:val="0"/>
              <w:shd w:val="clear" w:fill="FFFFFF"/>
              <w:spacing w:before="0" w:beforeAutospacing="0" w:after="30" w:afterAutospacing="0" w:line="450" w:lineRule="atLeast"/>
              <w:ind w:left="0" w:right="0" w:firstLine="0"/>
              <w:rPr>
                <w:rFonts w:hint="default" w:ascii="Segoe UI" w:hAnsi="Segoe UI" w:eastAsia="Segoe UI" w:cs="Segoe UI"/>
                <w:b/>
                <w:bCs/>
                <w:i w:val="0"/>
                <w:iCs w:val="0"/>
                <w:caps w:val="0"/>
                <w:spacing w:val="0"/>
                <w:sz w:val="27"/>
                <w:szCs w:val="27"/>
                <w:u w:val="single"/>
              </w:rPr>
            </w:pPr>
            <w:r>
              <w:rPr>
                <w:rFonts w:hint="default" w:ascii="Segoe UI" w:hAnsi="Segoe UI" w:eastAsia="Segoe UI" w:cs="Segoe UI"/>
                <w:b/>
                <w:bCs/>
                <w:i w:val="0"/>
                <w:iCs w:val="0"/>
                <w:caps w:val="0"/>
                <w:spacing w:val="0"/>
                <w:sz w:val="27"/>
                <w:szCs w:val="27"/>
                <w:u w:val="single"/>
                <w:shd w:val="clear" w:fill="FFFFFF"/>
              </w:rPr>
              <w:t>5. 法律和资质要求</w:t>
            </w:r>
          </w:p>
          <w:p w14:paraId="621A027A">
            <w:pPr>
              <w:pStyle w:val="6"/>
              <w:keepNext w:val="0"/>
              <w:keepLines w:val="0"/>
              <w:widowControl/>
              <w:suppressLineNumbers w:val="0"/>
              <w:shd w:val="clear" w:fill="FFFFFF"/>
              <w:spacing w:before="0" w:beforeAutospacing="0" w:after="180" w:afterAutospacing="0"/>
              <w:ind w:left="0" w:right="0" w:firstLine="0"/>
              <w:rPr>
                <w:rFonts w:hint="eastAsia" w:ascii="Segoe UI" w:hAnsi="Segoe UI" w:eastAsia="宋体" w:cs="Segoe UI"/>
                <w:i w:val="0"/>
                <w:iCs w:val="0"/>
                <w:caps w:val="0"/>
                <w:spacing w:val="0"/>
                <w:sz w:val="24"/>
                <w:szCs w:val="24"/>
                <w:lang w:eastAsia="zh-CN"/>
              </w:rPr>
            </w:pPr>
            <w:r>
              <w:rPr>
                <w:rFonts w:hint="default" w:ascii="Segoe UI" w:hAnsi="Segoe UI" w:eastAsia="Segoe UI" w:cs="Segoe UI"/>
                <w:i w:val="0"/>
                <w:iCs w:val="0"/>
                <w:caps w:val="0"/>
                <w:spacing w:val="0"/>
                <w:sz w:val="24"/>
                <w:szCs w:val="24"/>
                <w:shd w:val="clear" w:fill="FFFFFF"/>
              </w:rPr>
              <w:t>供应商必须具备环保部门颁发的危险废物经营许可证，保证进行医疗废物处置的场所是环保部门特许，且具备先进的处置设备和烟气净化系统的规范化危险废物集中处置场。投标方还应指定专人负责医疗废物交接工作，对移交的医疗废物进行核实后填写《危险废物转移联单》，按时上报环保部门存档，资料存档时间至少5年</w:t>
            </w:r>
            <w:r>
              <w:rPr>
                <w:rFonts w:hint="eastAsia" w:ascii="Segoe UI" w:hAnsi="Segoe UI" w:eastAsia="宋体" w:cs="Segoe UI"/>
                <w:i w:val="0"/>
                <w:iCs w:val="0"/>
                <w:caps w:val="0"/>
                <w:spacing w:val="0"/>
                <w:sz w:val="24"/>
                <w:szCs w:val="24"/>
                <w:shd w:val="clear" w:fill="FFFFFF"/>
                <w:lang w:eastAsia="zh-CN"/>
              </w:rPr>
              <w:t>。</w:t>
            </w:r>
          </w:p>
          <w:p w14:paraId="0E758AA9">
            <w:pPr>
              <w:autoSpaceDE w:val="0"/>
              <w:autoSpaceDN w:val="0"/>
              <w:adjustRightInd w:val="0"/>
              <w:spacing w:line="360" w:lineRule="auto"/>
              <w:jc w:val="left"/>
              <w:rPr>
                <w:rFonts w:hint="default" w:ascii="宋体" w:hAnsi="宋体" w:eastAsia="宋体" w:cs="Times New Roman"/>
                <w:b w:val="0"/>
                <w:bCs w:val="0"/>
                <w:szCs w:val="21"/>
                <w:lang w:val="en-US" w:eastAsia="zh-CN"/>
              </w:rPr>
            </w:pPr>
            <w:bookmarkStart w:id="2" w:name="_GoBack"/>
            <w:bookmarkEnd w:id="2"/>
          </w:p>
        </w:tc>
      </w:tr>
      <w:tr w14:paraId="7EB20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14:paraId="50B5499C">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14:paraId="5A71F3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14:paraId="57396FFB">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14:paraId="27CEA6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14:paraId="6A3A8155">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14:paraId="378A6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14:paraId="084C9593">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w:t>
            </w:r>
            <w:r>
              <w:rPr>
                <w:rFonts w:hint="eastAsia" w:ascii="宋体" w:hAnsi="宋体" w:eastAsia="宋体" w:cs="Times New Roman"/>
                <w:szCs w:val="21"/>
                <w:lang w:eastAsia="zh-CN"/>
              </w:rPr>
              <w:t>处置</w:t>
            </w:r>
            <w:r>
              <w:rPr>
                <w:rFonts w:hint="eastAsia" w:ascii="宋体" w:hAnsi="宋体" w:eastAsia="宋体" w:cs="Times New Roman"/>
                <w:szCs w:val="21"/>
              </w:rPr>
              <w:t>价格、运输费、</w:t>
            </w:r>
            <w:r>
              <w:rPr>
                <w:rFonts w:hint="eastAsia" w:ascii="宋体" w:hAnsi="宋体" w:eastAsia="宋体" w:cs="Times New Roman"/>
                <w:szCs w:val="21"/>
                <w:lang w:eastAsia="zh-CN"/>
              </w:rPr>
              <w:t>搬运费、</w:t>
            </w:r>
            <w:r>
              <w:rPr>
                <w:rFonts w:hint="eastAsia" w:ascii="宋体" w:hAnsi="宋体" w:eastAsia="宋体" w:cs="Times New Roman"/>
                <w:szCs w:val="21"/>
              </w:rPr>
              <w:t>税费等全部费用。</w:t>
            </w:r>
          </w:p>
        </w:tc>
      </w:tr>
      <w:tr w14:paraId="43C09A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63B8682F">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8" w:type="dxa"/>
            <w:gridSpan w:val="2"/>
            <w:tcBorders>
              <w:top w:val="single" w:color="auto" w:sz="4" w:space="0"/>
              <w:left w:val="single" w:color="auto" w:sz="4" w:space="0"/>
              <w:bottom w:val="single" w:color="auto" w:sz="4" w:space="0"/>
              <w:right w:val="single" w:color="auto" w:sz="4" w:space="0"/>
            </w:tcBorders>
            <w:vAlign w:val="center"/>
          </w:tcPr>
          <w:p w14:paraId="7FE7B5CF">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3" w:type="dxa"/>
            <w:tcBorders>
              <w:top w:val="single" w:color="auto" w:sz="4" w:space="0"/>
              <w:left w:val="single" w:color="auto" w:sz="4" w:space="0"/>
              <w:bottom w:val="single" w:color="auto" w:sz="4" w:space="0"/>
              <w:right w:val="single" w:color="auto" w:sz="4" w:space="0"/>
            </w:tcBorders>
            <w:vAlign w:val="center"/>
          </w:tcPr>
          <w:p w14:paraId="2680180C">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14:paraId="58E13FE8">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2127" w:type="dxa"/>
            <w:tcBorders>
              <w:top w:val="single" w:color="auto" w:sz="4" w:space="0"/>
              <w:left w:val="single" w:color="auto" w:sz="4" w:space="0"/>
              <w:bottom w:val="single" w:color="auto" w:sz="4" w:space="0"/>
              <w:right w:val="single" w:color="auto" w:sz="4" w:space="0"/>
            </w:tcBorders>
            <w:vAlign w:val="center"/>
          </w:tcPr>
          <w:p w14:paraId="2380F766">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2231" w:type="dxa"/>
            <w:tcBorders>
              <w:top w:val="single" w:color="auto" w:sz="4" w:space="0"/>
              <w:left w:val="single" w:color="auto" w:sz="4" w:space="0"/>
              <w:bottom w:val="single" w:color="auto" w:sz="4" w:space="0"/>
              <w:right w:val="single" w:color="auto" w:sz="4" w:space="0"/>
            </w:tcBorders>
            <w:vAlign w:val="center"/>
          </w:tcPr>
          <w:p w14:paraId="6A879480">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金额（万元）</w:t>
            </w:r>
          </w:p>
          <w:p w14:paraId="0ED6094B">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14:paraId="75580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14:paraId="6B8398B9">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14:paraId="618BA809">
            <w:pPr>
              <w:widowControl/>
              <w:jc w:val="both"/>
              <w:textAlignment w:val="center"/>
              <w:rPr>
                <w:rFonts w:hint="eastAsia" w:ascii="宋体" w:hAnsi="宋体" w:eastAsia="宋体" w:cs="宋体"/>
                <w:b/>
                <w:color w:val="000000"/>
                <w:kern w:val="0"/>
                <w:szCs w:val="21"/>
                <w:lang w:eastAsia="zh-CN"/>
              </w:rPr>
            </w:pPr>
            <w:r>
              <w:rPr>
                <w:rFonts w:hint="eastAsia" w:ascii="宋体" w:hAnsi="宋体" w:eastAsia="宋体" w:cs="宋体"/>
                <w:b/>
                <w:color w:val="000000"/>
                <w:kern w:val="0"/>
                <w:szCs w:val="21"/>
                <w:lang w:eastAsia="zh-CN"/>
              </w:rPr>
              <w:t>医疗废物处置包月费用</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14:paraId="16E8D0B4">
            <w:pPr>
              <w:widowControl/>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月</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99FDAFB">
            <w:pPr>
              <w:widowControl/>
              <w:jc w:val="both"/>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12</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14:paraId="140EFB9B">
            <w:pPr>
              <w:widowControl/>
              <w:jc w:val="center"/>
              <w:textAlignment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4500</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14:paraId="1F6481DB">
            <w:pPr>
              <w:widowControl/>
              <w:jc w:val="center"/>
              <w:textAlignment w:val="center"/>
              <w:rPr>
                <w:rFonts w:hint="default" w:ascii="宋体" w:hAnsi="宋体" w:eastAsia="宋体" w:cs="宋体"/>
                <w:color w:val="FF0000"/>
                <w:kern w:val="0"/>
                <w:szCs w:val="21"/>
                <w:lang w:val="en-US" w:eastAsia="zh-CN"/>
              </w:rPr>
            </w:pPr>
            <w:r>
              <w:rPr>
                <w:rFonts w:hint="eastAsia" w:ascii="宋体" w:hAnsi="宋体" w:eastAsia="宋体" w:cs="宋体"/>
                <w:color w:val="FF0000"/>
                <w:kern w:val="0"/>
                <w:szCs w:val="21"/>
                <w:lang w:val="en-US" w:eastAsia="zh-CN"/>
              </w:rPr>
              <w:t>54000</w:t>
            </w:r>
          </w:p>
        </w:tc>
      </w:tr>
      <w:tr w14:paraId="540E2B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14:paraId="5796F93D">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14:paraId="687C9317">
            <w:pPr>
              <w:widowControl/>
              <w:jc w:val="center"/>
              <w:textAlignment w:val="center"/>
              <w:rPr>
                <w:rFonts w:ascii="宋体" w:hAnsi="宋体" w:eastAsia="宋体" w:cs="宋体"/>
                <w:b/>
                <w:color w:val="000000"/>
                <w:kern w:val="0"/>
                <w:szCs w:val="21"/>
              </w:rPr>
            </w:pP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14:paraId="7106F2AD">
            <w:pPr>
              <w:widowControl/>
              <w:jc w:val="center"/>
              <w:rPr>
                <w:rFonts w:ascii="宋体" w:hAnsi="宋体" w:eastAsia="宋体" w:cs="Times New Roman"/>
                <w:szCs w:val="21"/>
              </w:rPr>
            </w:pPr>
          </w:p>
        </w:tc>
        <w:tc>
          <w:tcPr>
            <w:tcW w:w="709" w:type="dxa"/>
            <w:tcBorders>
              <w:top w:val="nil"/>
              <w:left w:val="single" w:color="auto" w:sz="4" w:space="0"/>
              <w:bottom w:val="single" w:color="auto" w:sz="4" w:space="0"/>
              <w:right w:val="single" w:color="auto" w:sz="4" w:space="0"/>
            </w:tcBorders>
            <w:shd w:val="clear" w:color="auto" w:fill="auto"/>
            <w:vAlign w:val="center"/>
          </w:tcPr>
          <w:p w14:paraId="5A131F76">
            <w:pPr>
              <w:widowControl/>
              <w:jc w:val="center"/>
              <w:rPr>
                <w:rFonts w:ascii="宋体" w:hAnsi="宋体" w:eastAsia="宋体" w:cs="Times New Roman"/>
                <w:szCs w:val="21"/>
              </w:rPr>
            </w:pPr>
          </w:p>
        </w:tc>
        <w:tc>
          <w:tcPr>
            <w:tcW w:w="2127" w:type="dxa"/>
            <w:tcBorders>
              <w:top w:val="nil"/>
              <w:left w:val="single" w:color="auto" w:sz="4" w:space="0"/>
              <w:bottom w:val="single" w:color="auto" w:sz="4" w:space="0"/>
              <w:right w:val="single" w:color="auto" w:sz="4" w:space="0"/>
            </w:tcBorders>
            <w:shd w:val="clear" w:color="auto" w:fill="auto"/>
            <w:vAlign w:val="center"/>
          </w:tcPr>
          <w:p w14:paraId="68477CE9">
            <w:pPr>
              <w:widowControl/>
              <w:jc w:val="center"/>
              <w:textAlignment w:val="center"/>
              <w:rPr>
                <w:rFonts w:ascii="宋体" w:hAnsi="宋体" w:eastAsia="宋体" w:cs="宋体"/>
                <w:color w:val="FF0000"/>
                <w:kern w:val="0"/>
                <w:szCs w:val="21"/>
              </w:rPr>
            </w:pPr>
          </w:p>
        </w:tc>
        <w:tc>
          <w:tcPr>
            <w:tcW w:w="2231" w:type="dxa"/>
            <w:tcBorders>
              <w:top w:val="nil"/>
              <w:left w:val="single" w:color="auto" w:sz="4" w:space="0"/>
              <w:bottom w:val="single" w:color="auto" w:sz="4" w:space="0"/>
              <w:right w:val="single" w:color="auto" w:sz="4" w:space="0"/>
            </w:tcBorders>
            <w:shd w:val="clear" w:color="auto" w:fill="auto"/>
            <w:vAlign w:val="center"/>
          </w:tcPr>
          <w:p w14:paraId="10E33AA2">
            <w:pPr>
              <w:widowControl/>
              <w:jc w:val="center"/>
              <w:textAlignment w:val="center"/>
              <w:rPr>
                <w:rFonts w:ascii="宋体" w:hAnsi="宋体" w:eastAsia="宋体" w:cs="宋体"/>
                <w:color w:val="FF0000"/>
                <w:kern w:val="0"/>
                <w:szCs w:val="21"/>
              </w:rPr>
            </w:pPr>
          </w:p>
        </w:tc>
      </w:tr>
      <w:tr w14:paraId="52428F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14:paraId="098B1498">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14:paraId="3FE75A61">
            <w:pPr>
              <w:widowControl/>
              <w:jc w:val="center"/>
              <w:textAlignment w:val="center"/>
              <w:rPr>
                <w:rFonts w:ascii="宋体" w:hAnsi="宋体" w:eastAsia="宋体" w:cs="宋体"/>
                <w:b/>
                <w:color w:val="000000"/>
                <w:kern w:val="0"/>
                <w:szCs w:val="21"/>
              </w:rPr>
            </w:pPr>
          </w:p>
        </w:tc>
        <w:tc>
          <w:tcPr>
            <w:tcW w:w="1133" w:type="dxa"/>
            <w:tcBorders>
              <w:top w:val="nil"/>
              <w:left w:val="single" w:color="auto" w:sz="4" w:space="0"/>
              <w:bottom w:val="single" w:color="auto" w:sz="4" w:space="0"/>
              <w:right w:val="single" w:color="auto" w:sz="4" w:space="0"/>
            </w:tcBorders>
            <w:shd w:val="clear" w:color="auto" w:fill="auto"/>
            <w:vAlign w:val="center"/>
          </w:tcPr>
          <w:p w14:paraId="2E70BE8C">
            <w:pPr>
              <w:ind w:firstLine="315" w:firstLineChars="150"/>
              <w:rPr>
                <w:rFonts w:ascii="宋体" w:hAnsi="宋体" w:eastAsia="宋体" w:cs="Times New Roman"/>
                <w:szCs w:val="21"/>
              </w:rPr>
            </w:pPr>
          </w:p>
        </w:tc>
        <w:tc>
          <w:tcPr>
            <w:tcW w:w="709" w:type="dxa"/>
            <w:tcBorders>
              <w:top w:val="nil"/>
              <w:left w:val="single" w:color="auto" w:sz="4" w:space="0"/>
              <w:bottom w:val="single" w:color="auto" w:sz="4" w:space="0"/>
              <w:right w:val="single" w:color="auto" w:sz="4" w:space="0"/>
            </w:tcBorders>
            <w:shd w:val="clear" w:color="auto" w:fill="auto"/>
            <w:vAlign w:val="center"/>
          </w:tcPr>
          <w:p w14:paraId="241D5095">
            <w:pPr>
              <w:ind w:firstLine="105" w:firstLineChars="50"/>
              <w:jc w:val="center"/>
              <w:rPr>
                <w:rFonts w:ascii="宋体" w:hAnsi="宋体" w:eastAsia="宋体" w:cs="Times New Roman"/>
                <w:szCs w:val="21"/>
              </w:rPr>
            </w:pPr>
          </w:p>
        </w:tc>
        <w:tc>
          <w:tcPr>
            <w:tcW w:w="2127" w:type="dxa"/>
            <w:tcBorders>
              <w:top w:val="nil"/>
              <w:left w:val="single" w:color="auto" w:sz="4" w:space="0"/>
              <w:bottom w:val="single" w:color="auto" w:sz="4" w:space="0"/>
              <w:right w:val="single" w:color="auto" w:sz="4" w:space="0"/>
            </w:tcBorders>
            <w:shd w:val="clear" w:color="auto" w:fill="auto"/>
            <w:vAlign w:val="center"/>
          </w:tcPr>
          <w:p w14:paraId="0E616A4A">
            <w:pPr>
              <w:widowControl/>
              <w:jc w:val="center"/>
              <w:textAlignment w:val="center"/>
              <w:rPr>
                <w:rFonts w:ascii="宋体" w:hAnsi="宋体" w:eastAsia="宋体" w:cs="宋体"/>
                <w:color w:val="FF0000"/>
                <w:kern w:val="0"/>
                <w:szCs w:val="21"/>
              </w:rPr>
            </w:pPr>
          </w:p>
        </w:tc>
        <w:tc>
          <w:tcPr>
            <w:tcW w:w="2231" w:type="dxa"/>
            <w:tcBorders>
              <w:top w:val="nil"/>
              <w:left w:val="single" w:color="auto" w:sz="4" w:space="0"/>
              <w:bottom w:val="single" w:color="auto" w:sz="4" w:space="0"/>
              <w:right w:val="single" w:color="auto" w:sz="4" w:space="0"/>
            </w:tcBorders>
            <w:shd w:val="clear" w:color="auto" w:fill="auto"/>
            <w:vAlign w:val="center"/>
          </w:tcPr>
          <w:p w14:paraId="3D6BE4A5">
            <w:pPr>
              <w:widowControl/>
              <w:jc w:val="center"/>
              <w:textAlignment w:val="center"/>
              <w:rPr>
                <w:rFonts w:ascii="宋体" w:hAnsi="宋体" w:eastAsia="宋体" w:cs="宋体"/>
                <w:color w:val="FF0000"/>
                <w:kern w:val="0"/>
                <w:szCs w:val="21"/>
              </w:rPr>
            </w:pPr>
          </w:p>
        </w:tc>
      </w:tr>
      <w:tr w14:paraId="758B5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14:paraId="6969143D">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报价总价大写：</w:t>
            </w:r>
            <w:r>
              <w:rPr>
                <w:rFonts w:hint="eastAsia" w:ascii="宋体" w:hAnsi="宋体" w:eastAsia="宋体" w:cs="TimesNewRomanPSMT"/>
                <w:kern w:val="0"/>
                <w:szCs w:val="21"/>
                <w:lang w:eastAsia="zh-CN"/>
              </w:rPr>
              <w:t>伍万肆千元整</w:t>
            </w:r>
            <w:r>
              <w:rPr>
                <w:rFonts w:hint="eastAsia" w:ascii="宋体" w:hAnsi="宋体" w:eastAsia="宋体" w:cs="TimesNewRomanPSMT"/>
                <w:kern w:val="0"/>
                <w:szCs w:val="21"/>
                <w:lang w:val="en-US" w:eastAsia="zh-CN"/>
              </w:rPr>
              <w:t xml:space="preserve">           </w:t>
            </w:r>
            <w:r>
              <w:rPr>
                <w:rFonts w:hint="eastAsia" w:ascii="宋体" w:hAnsi="宋体" w:eastAsia="宋体" w:cs="TimesNewRomanPSMT"/>
                <w:kern w:val="0"/>
                <w:szCs w:val="21"/>
              </w:rPr>
              <w:t xml:space="preserve">   小写人民币：</w:t>
            </w:r>
            <w:r>
              <w:rPr>
                <w:rFonts w:hint="eastAsia" w:ascii="宋体" w:hAnsi="宋体" w:eastAsia="宋体" w:cs="TimesNewRomanPSMT"/>
                <w:kern w:val="0"/>
                <w:szCs w:val="21"/>
                <w:lang w:val="en-US" w:eastAsia="zh-CN"/>
              </w:rPr>
              <w:t xml:space="preserve">54000  </w:t>
            </w:r>
            <w:r>
              <w:rPr>
                <w:rFonts w:hint="eastAsia" w:ascii="宋体" w:hAnsi="宋体" w:eastAsia="宋体" w:cs="TimesNewRomanPSMT"/>
                <w:kern w:val="0"/>
                <w:szCs w:val="21"/>
              </w:rPr>
              <w:t>元</w:t>
            </w:r>
          </w:p>
        </w:tc>
      </w:tr>
    </w:tbl>
    <w:p w14:paraId="6B957C76">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14:paraId="6CFBAF03">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14:paraId="2A760895">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14:paraId="22BD135F">
      <w:pPr>
        <w:pStyle w:val="2"/>
      </w:pPr>
    </w:p>
    <w:p w14:paraId="2DD848F3">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200" w:right="1558" w:bottom="25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MGJkMjQ2YWU3YzI0ZWQ5MDIzYTA5NWI0MDhjY2EifQ=="/>
  </w:docVars>
  <w:rsids>
    <w:rsidRoot w:val="00524735"/>
    <w:rsid w:val="00001C4D"/>
    <w:rsid w:val="000151A7"/>
    <w:rsid w:val="00015768"/>
    <w:rsid w:val="00023BD5"/>
    <w:rsid w:val="00057E4B"/>
    <w:rsid w:val="000662E8"/>
    <w:rsid w:val="000A7F3A"/>
    <w:rsid w:val="000D5670"/>
    <w:rsid w:val="000E0562"/>
    <w:rsid w:val="00111693"/>
    <w:rsid w:val="001373A8"/>
    <w:rsid w:val="00157A8E"/>
    <w:rsid w:val="00176973"/>
    <w:rsid w:val="001A0047"/>
    <w:rsid w:val="001A6750"/>
    <w:rsid w:val="001B34DC"/>
    <w:rsid w:val="001B4A32"/>
    <w:rsid w:val="001C0DAF"/>
    <w:rsid w:val="001E7733"/>
    <w:rsid w:val="00206F37"/>
    <w:rsid w:val="00223331"/>
    <w:rsid w:val="0024086D"/>
    <w:rsid w:val="002708B5"/>
    <w:rsid w:val="0029114E"/>
    <w:rsid w:val="00296E65"/>
    <w:rsid w:val="002C493F"/>
    <w:rsid w:val="002E0607"/>
    <w:rsid w:val="002F4F7E"/>
    <w:rsid w:val="003204C8"/>
    <w:rsid w:val="0033284B"/>
    <w:rsid w:val="00337925"/>
    <w:rsid w:val="00346371"/>
    <w:rsid w:val="003569A7"/>
    <w:rsid w:val="003672AA"/>
    <w:rsid w:val="00396B29"/>
    <w:rsid w:val="003A6D4F"/>
    <w:rsid w:val="003B0BC1"/>
    <w:rsid w:val="003B0D49"/>
    <w:rsid w:val="003E7362"/>
    <w:rsid w:val="004004BB"/>
    <w:rsid w:val="00405D87"/>
    <w:rsid w:val="004269CC"/>
    <w:rsid w:val="00481137"/>
    <w:rsid w:val="004C21B1"/>
    <w:rsid w:val="004C5F6C"/>
    <w:rsid w:val="00507281"/>
    <w:rsid w:val="0051140A"/>
    <w:rsid w:val="00524735"/>
    <w:rsid w:val="005312D8"/>
    <w:rsid w:val="00563B34"/>
    <w:rsid w:val="00590B6E"/>
    <w:rsid w:val="005944DC"/>
    <w:rsid w:val="005D08A8"/>
    <w:rsid w:val="005D624B"/>
    <w:rsid w:val="005E52CA"/>
    <w:rsid w:val="005F16FF"/>
    <w:rsid w:val="006027D7"/>
    <w:rsid w:val="00604BDC"/>
    <w:rsid w:val="00624C56"/>
    <w:rsid w:val="006337F3"/>
    <w:rsid w:val="00646231"/>
    <w:rsid w:val="006552B4"/>
    <w:rsid w:val="006A130D"/>
    <w:rsid w:val="006F55C4"/>
    <w:rsid w:val="006F69B2"/>
    <w:rsid w:val="006F7030"/>
    <w:rsid w:val="007047E7"/>
    <w:rsid w:val="00710E97"/>
    <w:rsid w:val="007169EB"/>
    <w:rsid w:val="00721CE0"/>
    <w:rsid w:val="00755828"/>
    <w:rsid w:val="00762DF7"/>
    <w:rsid w:val="007C2B74"/>
    <w:rsid w:val="007C339F"/>
    <w:rsid w:val="007F6B6A"/>
    <w:rsid w:val="0083146F"/>
    <w:rsid w:val="0085079A"/>
    <w:rsid w:val="0086224C"/>
    <w:rsid w:val="00880385"/>
    <w:rsid w:val="00890449"/>
    <w:rsid w:val="008D0D3D"/>
    <w:rsid w:val="008E4DE4"/>
    <w:rsid w:val="008F2A60"/>
    <w:rsid w:val="008F74D2"/>
    <w:rsid w:val="00991794"/>
    <w:rsid w:val="009952DE"/>
    <w:rsid w:val="009C57F8"/>
    <w:rsid w:val="009E0515"/>
    <w:rsid w:val="00A060AF"/>
    <w:rsid w:val="00A50EBB"/>
    <w:rsid w:val="00A62D7A"/>
    <w:rsid w:val="00A67BE2"/>
    <w:rsid w:val="00A71325"/>
    <w:rsid w:val="00A8452E"/>
    <w:rsid w:val="00A9771F"/>
    <w:rsid w:val="00AC4040"/>
    <w:rsid w:val="00AD59A6"/>
    <w:rsid w:val="00AD76FB"/>
    <w:rsid w:val="00AF5446"/>
    <w:rsid w:val="00B064FB"/>
    <w:rsid w:val="00B1181B"/>
    <w:rsid w:val="00B22DB8"/>
    <w:rsid w:val="00B27915"/>
    <w:rsid w:val="00B746CC"/>
    <w:rsid w:val="00B904F5"/>
    <w:rsid w:val="00B91803"/>
    <w:rsid w:val="00B965A5"/>
    <w:rsid w:val="00B96E10"/>
    <w:rsid w:val="00BA1055"/>
    <w:rsid w:val="00BA2E26"/>
    <w:rsid w:val="00BB16E6"/>
    <w:rsid w:val="00BD7727"/>
    <w:rsid w:val="00BF0F70"/>
    <w:rsid w:val="00C17FE5"/>
    <w:rsid w:val="00C47AFF"/>
    <w:rsid w:val="00C53609"/>
    <w:rsid w:val="00CE6D71"/>
    <w:rsid w:val="00CF0D73"/>
    <w:rsid w:val="00CF76F9"/>
    <w:rsid w:val="00D077FD"/>
    <w:rsid w:val="00D13EEC"/>
    <w:rsid w:val="00D50CB5"/>
    <w:rsid w:val="00D90C70"/>
    <w:rsid w:val="00DA1CFD"/>
    <w:rsid w:val="00DE22AA"/>
    <w:rsid w:val="00DE5392"/>
    <w:rsid w:val="00E24A0E"/>
    <w:rsid w:val="00E4026B"/>
    <w:rsid w:val="00E72F0B"/>
    <w:rsid w:val="00E73DC4"/>
    <w:rsid w:val="00E82004"/>
    <w:rsid w:val="00E85EB0"/>
    <w:rsid w:val="00E93312"/>
    <w:rsid w:val="00EA5557"/>
    <w:rsid w:val="00EE5DEA"/>
    <w:rsid w:val="00F328EB"/>
    <w:rsid w:val="00F45CD2"/>
    <w:rsid w:val="00F56E46"/>
    <w:rsid w:val="00F77061"/>
    <w:rsid w:val="00FE76F2"/>
    <w:rsid w:val="02990C86"/>
    <w:rsid w:val="04B252B7"/>
    <w:rsid w:val="08711E6A"/>
    <w:rsid w:val="08FE3622"/>
    <w:rsid w:val="116021A5"/>
    <w:rsid w:val="15082937"/>
    <w:rsid w:val="15363948"/>
    <w:rsid w:val="155142DE"/>
    <w:rsid w:val="18ED5352"/>
    <w:rsid w:val="196C5B8A"/>
    <w:rsid w:val="19A10B83"/>
    <w:rsid w:val="1B3A34BE"/>
    <w:rsid w:val="20C46CE7"/>
    <w:rsid w:val="21D40771"/>
    <w:rsid w:val="221E6C99"/>
    <w:rsid w:val="22804455"/>
    <w:rsid w:val="22DD75EC"/>
    <w:rsid w:val="25201F1F"/>
    <w:rsid w:val="258C10EE"/>
    <w:rsid w:val="28E3564E"/>
    <w:rsid w:val="2A8A6882"/>
    <w:rsid w:val="2DB11966"/>
    <w:rsid w:val="2F191259"/>
    <w:rsid w:val="30B71989"/>
    <w:rsid w:val="365D57F4"/>
    <w:rsid w:val="38D46E50"/>
    <w:rsid w:val="38F0754B"/>
    <w:rsid w:val="3A6765BE"/>
    <w:rsid w:val="3AE01ADD"/>
    <w:rsid w:val="3C0D56D3"/>
    <w:rsid w:val="3CD46809"/>
    <w:rsid w:val="3E9230EE"/>
    <w:rsid w:val="3F890995"/>
    <w:rsid w:val="47F44134"/>
    <w:rsid w:val="48154D05"/>
    <w:rsid w:val="4AAD305D"/>
    <w:rsid w:val="4DA1334D"/>
    <w:rsid w:val="4E487C6D"/>
    <w:rsid w:val="502B6EFE"/>
    <w:rsid w:val="54212AF2"/>
    <w:rsid w:val="54D23DEC"/>
    <w:rsid w:val="54DC2F82"/>
    <w:rsid w:val="59D53026"/>
    <w:rsid w:val="5FEC48FC"/>
    <w:rsid w:val="66952ECC"/>
    <w:rsid w:val="6A4410A4"/>
    <w:rsid w:val="6B021A3D"/>
    <w:rsid w:val="6CC369E5"/>
    <w:rsid w:val="70567B70"/>
    <w:rsid w:val="789E3E62"/>
    <w:rsid w:val="7961387E"/>
    <w:rsid w:val="7B2A4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9">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Balloon Text"/>
    <w:basedOn w:val="1"/>
    <w:link w:val="13"/>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rPr>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uiPriority w:val="99"/>
    <w:rPr>
      <w:color w:val="0000FF"/>
      <w:u w:val="singl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431</Words>
  <Characters>467</Characters>
  <Lines>5</Lines>
  <Paragraphs>1</Paragraphs>
  <TotalTime>4</TotalTime>
  <ScaleCrop>false</ScaleCrop>
  <LinksUpToDate>false</LinksUpToDate>
  <CharactersWithSpaces>555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夏坚</cp:lastModifiedBy>
  <cp:lastPrinted>2023-07-07T08:35:00Z</cp:lastPrinted>
  <dcterms:modified xsi:type="dcterms:W3CDTF">2024-11-08T04:10:20Z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1331417C877F441B8544A8F934D99538</vt:lpwstr>
  </property>
</Properties>
</file>