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7A703C">
      <w:pPr>
        <w:spacing w:line="400" w:lineRule="exact"/>
        <w:rPr>
          <w:rFonts w:hint="eastAsia" w:ascii="宋体" w:hAnsi="宋体"/>
          <w:b/>
          <w:sz w:val="28"/>
          <w:szCs w:val="28"/>
        </w:rPr>
      </w:pPr>
      <w:r>
        <w:rPr>
          <w:rFonts w:hint="eastAsia" w:ascii="宋体" w:hAnsi="宋体"/>
          <w:b/>
          <w:sz w:val="28"/>
          <w:szCs w:val="28"/>
        </w:rPr>
        <w:t>附件3</w:t>
      </w:r>
    </w:p>
    <w:p w14:paraId="33308E88">
      <w:pPr>
        <w:spacing w:line="400" w:lineRule="exact"/>
        <w:jc w:val="center"/>
        <w:rPr>
          <w:rFonts w:hint="eastAsia" w:ascii="宋体" w:hAnsi="宋体"/>
          <w:b/>
          <w:sz w:val="28"/>
          <w:szCs w:val="28"/>
        </w:rPr>
      </w:pPr>
      <w:r>
        <w:rPr>
          <w:rFonts w:hint="eastAsia" w:ascii="宋体" w:hAnsi="宋体"/>
          <w:b/>
          <w:sz w:val="28"/>
          <w:szCs w:val="28"/>
        </w:rPr>
        <w:t>采购需求</w:t>
      </w:r>
    </w:p>
    <w:tbl>
      <w:tblPr>
        <w:tblStyle w:val="11"/>
        <w:tblW w:w="920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30"/>
        <w:gridCol w:w="983"/>
        <w:gridCol w:w="199"/>
        <w:gridCol w:w="1669"/>
        <w:gridCol w:w="882"/>
        <w:gridCol w:w="4646"/>
      </w:tblGrid>
      <w:tr w14:paraId="5DFD70C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9" w:hRule="atLeast"/>
          <w:jc w:val="center"/>
        </w:trPr>
        <w:tc>
          <w:tcPr>
            <w:tcW w:w="9209" w:type="dxa"/>
            <w:gridSpan w:val="6"/>
            <w:tcBorders>
              <w:top w:val="single" w:color="auto" w:sz="4" w:space="0"/>
              <w:left w:val="single" w:color="auto" w:sz="4" w:space="0"/>
              <w:bottom w:val="single" w:color="auto" w:sz="4" w:space="0"/>
              <w:right w:val="single" w:color="auto" w:sz="4" w:space="0"/>
            </w:tcBorders>
            <w:vAlign w:val="center"/>
          </w:tcPr>
          <w:p w14:paraId="68D8BDFD">
            <w:pPr>
              <w:spacing w:line="360" w:lineRule="auto"/>
              <w:jc w:val="left"/>
              <w:rPr>
                <w:rFonts w:hint="eastAsia" w:ascii="宋体" w:hAnsi="宋体"/>
                <w:b/>
                <w:szCs w:val="21"/>
              </w:rPr>
            </w:pPr>
            <w:r>
              <w:rPr>
                <w:rFonts w:hint="eastAsia" w:ascii="宋体" w:hAnsi="宋体"/>
                <w:b/>
                <w:szCs w:val="21"/>
              </w:rPr>
              <w:t>一、物品参数需求</w:t>
            </w:r>
          </w:p>
        </w:tc>
      </w:tr>
      <w:tr w14:paraId="27DE3C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9" w:hRule="atLeast"/>
          <w:jc w:val="center"/>
        </w:trPr>
        <w:tc>
          <w:tcPr>
            <w:tcW w:w="830" w:type="dxa"/>
            <w:tcBorders>
              <w:top w:val="single" w:color="auto" w:sz="4" w:space="0"/>
              <w:left w:val="single" w:color="auto" w:sz="4" w:space="0"/>
              <w:bottom w:val="single" w:color="auto" w:sz="4" w:space="0"/>
              <w:right w:val="single" w:color="auto" w:sz="4" w:space="0"/>
            </w:tcBorders>
            <w:vAlign w:val="center"/>
          </w:tcPr>
          <w:p w14:paraId="5EDD0C70">
            <w:pPr>
              <w:spacing w:line="360" w:lineRule="auto"/>
              <w:jc w:val="center"/>
              <w:rPr>
                <w:rFonts w:hint="eastAsia" w:ascii="宋体" w:hAnsi="宋体"/>
                <w:b/>
                <w:szCs w:val="21"/>
              </w:rPr>
            </w:pPr>
            <w:r>
              <w:rPr>
                <w:rFonts w:hint="eastAsia" w:ascii="宋体" w:hAnsi="宋体"/>
                <w:b/>
                <w:szCs w:val="21"/>
              </w:rPr>
              <w:t>序号</w:t>
            </w:r>
          </w:p>
        </w:tc>
        <w:tc>
          <w:tcPr>
            <w:tcW w:w="1182" w:type="dxa"/>
            <w:gridSpan w:val="2"/>
            <w:tcBorders>
              <w:top w:val="single" w:color="auto" w:sz="4" w:space="0"/>
              <w:left w:val="single" w:color="auto" w:sz="4" w:space="0"/>
              <w:bottom w:val="single" w:color="auto" w:sz="4" w:space="0"/>
              <w:right w:val="single" w:color="auto" w:sz="4" w:space="0"/>
            </w:tcBorders>
            <w:vAlign w:val="center"/>
          </w:tcPr>
          <w:p w14:paraId="613305B8">
            <w:pPr>
              <w:spacing w:line="360" w:lineRule="auto"/>
              <w:jc w:val="center"/>
              <w:rPr>
                <w:rFonts w:hint="eastAsia" w:ascii="宋体" w:hAnsi="宋体"/>
                <w:b/>
                <w:szCs w:val="21"/>
              </w:rPr>
            </w:pPr>
            <w:r>
              <w:rPr>
                <w:rFonts w:hint="eastAsia" w:ascii="宋体" w:hAnsi="宋体"/>
                <w:b/>
                <w:szCs w:val="21"/>
              </w:rPr>
              <w:t>采购物品名称</w:t>
            </w:r>
          </w:p>
        </w:tc>
        <w:tc>
          <w:tcPr>
            <w:tcW w:w="1669" w:type="dxa"/>
            <w:tcBorders>
              <w:top w:val="single" w:color="auto" w:sz="4" w:space="0"/>
              <w:left w:val="single" w:color="auto" w:sz="4" w:space="0"/>
              <w:bottom w:val="single" w:color="auto" w:sz="4" w:space="0"/>
              <w:right w:val="single" w:color="auto" w:sz="4" w:space="0"/>
            </w:tcBorders>
            <w:vAlign w:val="center"/>
          </w:tcPr>
          <w:p w14:paraId="1931E0F2">
            <w:pPr>
              <w:spacing w:line="360" w:lineRule="auto"/>
              <w:jc w:val="center"/>
              <w:rPr>
                <w:rFonts w:hint="eastAsia" w:ascii="宋体" w:hAnsi="宋体"/>
                <w:b/>
                <w:szCs w:val="21"/>
              </w:rPr>
            </w:pPr>
            <w:r>
              <w:rPr>
                <w:rFonts w:hint="eastAsia" w:ascii="宋体" w:hAnsi="宋体"/>
                <w:b/>
                <w:szCs w:val="21"/>
              </w:rPr>
              <w:t>数量</w:t>
            </w:r>
          </w:p>
        </w:tc>
        <w:tc>
          <w:tcPr>
            <w:tcW w:w="882" w:type="dxa"/>
            <w:tcBorders>
              <w:top w:val="single" w:color="auto" w:sz="4" w:space="0"/>
              <w:left w:val="single" w:color="auto" w:sz="4" w:space="0"/>
              <w:bottom w:val="single" w:color="auto" w:sz="4" w:space="0"/>
              <w:right w:val="single" w:color="auto" w:sz="4" w:space="0"/>
            </w:tcBorders>
            <w:vAlign w:val="center"/>
          </w:tcPr>
          <w:p w14:paraId="6CE8BFC6">
            <w:pPr>
              <w:spacing w:line="360" w:lineRule="auto"/>
              <w:jc w:val="center"/>
              <w:rPr>
                <w:rFonts w:hint="eastAsia" w:ascii="宋体" w:hAnsi="宋体"/>
                <w:b/>
                <w:szCs w:val="21"/>
              </w:rPr>
            </w:pPr>
            <w:r>
              <w:rPr>
                <w:rFonts w:hint="eastAsia" w:ascii="宋体" w:hAnsi="宋体"/>
                <w:b/>
                <w:szCs w:val="21"/>
              </w:rPr>
              <w:t>单位</w:t>
            </w:r>
          </w:p>
        </w:tc>
        <w:tc>
          <w:tcPr>
            <w:tcW w:w="4646" w:type="dxa"/>
            <w:tcBorders>
              <w:top w:val="single" w:color="auto" w:sz="4" w:space="0"/>
              <w:left w:val="single" w:color="auto" w:sz="4" w:space="0"/>
              <w:bottom w:val="single" w:color="auto" w:sz="4" w:space="0"/>
              <w:right w:val="single" w:color="auto" w:sz="4" w:space="0"/>
            </w:tcBorders>
            <w:vAlign w:val="center"/>
          </w:tcPr>
          <w:p w14:paraId="38120F35">
            <w:pPr>
              <w:spacing w:line="360" w:lineRule="auto"/>
              <w:jc w:val="center"/>
              <w:rPr>
                <w:rFonts w:hint="eastAsia" w:ascii="宋体" w:hAnsi="宋体"/>
                <w:b/>
                <w:szCs w:val="21"/>
              </w:rPr>
            </w:pPr>
            <w:r>
              <w:rPr>
                <w:rFonts w:hint="eastAsia" w:ascii="宋体" w:hAnsi="宋体"/>
                <w:b/>
                <w:szCs w:val="21"/>
              </w:rPr>
              <w:t>项目要求及物品参数需求</w:t>
            </w:r>
          </w:p>
        </w:tc>
      </w:tr>
      <w:tr w14:paraId="5426961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3" w:hRule="atLeast"/>
          <w:jc w:val="center"/>
        </w:trPr>
        <w:tc>
          <w:tcPr>
            <w:tcW w:w="830" w:type="dxa"/>
            <w:tcBorders>
              <w:top w:val="single" w:color="auto" w:sz="4" w:space="0"/>
              <w:left w:val="single" w:color="auto" w:sz="4" w:space="0"/>
              <w:bottom w:val="single" w:color="auto" w:sz="4" w:space="0"/>
              <w:right w:val="single" w:color="auto" w:sz="4" w:space="0"/>
            </w:tcBorders>
            <w:vAlign w:val="center"/>
          </w:tcPr>
          <w:p w14:paraId="13D2F276">
            <w:pPr>
              <w:spacing w:line="360" w:lineRule="auto"/>
              <w:jc w:val="center"/>
              <w:rPr>
                <w:rFonts w:hint="eastAsia" w:ascii="宋体" w:hAnsi="宋体"/>
                <w:szCs w:val="21"/>
              </w:rPr>
            </w:pPr>
            <w:r>
              <w:rPr>
                <w:rFonts w:hint="eastAsia" w:ascii="宋体" w:hAnsi="宋体"/>
                <w:szCs w:val="21"/>
              </w:rPr>
              <w:t>1</w:t>
            </w:r>
          </w:p>
        </w:tc>
        <w:tc>
          <w:tcPr>
            <w:tcW w:w="1182" w:type="dxa"/>
            <w:gridSpan w:val="2"/>
            <w:tcBorders>
              <w:top w:val="single" w:color="auto" w:sz="4" w:space="0"/>
              <w:left w:val="single" w:color="auto" w:sz="4" w:space="0"/>
              <w:bottom w:val="single" w:color="auto" w:sz="4" w:space="0"/>
              <w:right w:val="single" w:color="auto" w:sz="4" w:space="0"/>
            </w:tcBorders>
            <w:vAlign w:val="center"/>
          </w:tcPr>
          <w:p w14:paraId="1EAC6778">
            <w:pPr>
              <w:autoSpaceDE w:val="0"/>
              <w:autoSpaceDN w:val="0"/>
              <w:adjustRightInd w:val="0"/>
              <w:spacing w:line="360" w:lineRule="auto"/>
              <w:jc w:val="center"/>
              <w:rPr>
                <w:rFonts w:hint="default" w:ascii="宋体" w:hAnsi="宋体" w:cs="宋体" w:eastAsiaTheme="minorEastAsia"/>
                <w:kern w:val="0"/>
                <w:szCs w:val="21"/>
                <w:lang w:val="en-US" w:eastAsia="zh-CN"/>
              </w:rPr>
            </w:pPr>
            <w:r>
              <w:rPr>
                <w:rFonts w:hint="eastAsia"/>
                <w:szCs w:val="21"/>
              </w:rPr>
              <w:t>教学管理中心</w:t>
            </w:r>
            <w:r>
              <w:rPr>
                <w:rFonts w:hint="eastAsia"/>
                <w:szCs w:val="21"/>
                <w:lang w:eastAsia="zh-CN"/>
              </w:rPr>
              <w:t>等</w:t>
            </w:r>
            <w:r>
              <w:rPr>
                <w:rFonts w:hint="eastAsia"/>
                <w:szCs w:val="21"/>
                <w:lang w:val="en-US" w:eastAsia="zh-CN"/>
              </w:rPr>
              <w:t>4个基建项目竣工财务决算审计服务</w:t>
            </w:r>
          </w:p>
        </w:tc>
        <w:tc>
          <w:tcPr>
            <w:tcW w:w="1669" w:type="dxa"/>
            <w:tcBorders>
              <w:top w:val="single" w:color="auto" w:sz="4" w:space="0"/>
              <w:left w:val="single" w:color="auto" w:sz="4" w:space="0"/>
              <w:bottom w:val="single" w:color="auto" w:sz="4" w:space="0"/>
              <w:right w:val="single" w:color="auto" w:sz="4" w:space="0"/>
            </w:tcBorders>
            <w:vAlign w:val="center"/>
          </w:tcPr>
          <w:p w14:paraId="570A2ED3">
            <w:pPr>
              <w:spacing w:line="360" w:lineRule="auto"/>
              <w:jc w:val="center"/>
              <w:rPr>
                <w:rFonts w:hint="eastAsia" w:ascii="宋体" w:hAnsi="宋体" w:cs="宋体" w:eastAsiaTheme="minorEastAsia"/>
                <w:kern w:val="0"/>
                <w:szCs w:val="21"/>
                <w:lang w:eastAsia="zh-CN"/>
              </w:rPr>
            </w:pPr>
            <w:r>
              <w:rPr>
                <w:rFonts w:hint="eastAsia"/>
                <w:lang w:val="en-US" w:eastAsia="zh-CN"/>
              </w:rPr>
              <w:t>1</w:t>
            </w:r>
          </w:p>
        </w:tc>
        <w:tc>
          <w:tcPr>
            <w:tcW w:w="882" w:type="dxa"/>
            <w:tcBorders>
              <w:top w:val="single" w:color="auto" w:sz="4" w:space="0"/>
              <w:left w:val="single" w:color="auto" w:sz="4" w:space="0"/>
              <w:bottom w:val="single" w:color="auto" w:sz="4" w:space="0"/>
              <w:right w:val="single" w:color="auto" w:sz="4" w:space="0"/>
            </w:tcBorders>
            <w:vAlign w:val="center"/>
          </w:tcPr>
          <w:p w14:paraId="3CB33263">
            <w:pPr>
              <w:spacing w:line="360" w:lineRule="auto"/>
              <w:jc w:val="center"/>
              <w:rPr>
                <w:rFonts w:hint="eastAsia" w:ascii="宋体" w:hAnsi="宋体" w:cs="宋体" w:eastAsiaTheme="minorEastAsia"/>
                <w:kern w:val="0"/>
                <w:szCs w:val="21"/>
                <w:lang w:eastAsia="zh-CN"/>
              </w:rPr>
            </w:pPr>
            <w:r>
              <w:rPr>
                <w:rFonts w:hint="eastAsia" w:ascii="宋体" w:hAnsi="宋体" w:cs="宋体"/>
                <w:kern w:val="0"/>
                <w:szCs w:val="21"/>
                <w:lang w:eastAsia="zh-CN"/>
              </w:rPr>
              <w:t>项</w:t>
            </w:r>
          </w:p>
        </w:tc>
        <w:tc>
          <w:tcPr>
            <w:tcW w:w="4646" w:type="dxa"/>
            <w:tcBorders>
              <w:top w:val="single" w:color="auto" w:sz="4" w:space="0"/>
              <w:left w:val="single" w:color="auto" w:sz="4" w:space="0"/>
              <w:bottom w:val="single" w:color="auto" w:sz="4" w:space="0"/>
              <w:right w:val="single" w:color="auto" w:sz="4" w:space="0"/>
            </w:tcBorders>
            <w:vAlign w:val="center"/>
          </w:tcPr>
          <w:p w14:paraId="7250C244">
            <w:pPr>
              <w:keepNext w:val="0"/>
              <w:keepLines w:val="0"/>
              <w:pageBreakBefore w:val="0"/>
              <w:widowControl/>
              <w:kinsoku/>
              <w:wordWrap/>
              <w:overflowPunct/>
              <w:topLinePunct w:val="0"/>
              <w:autoSpaceDE/>
              <w:autoSpaceDN/>
              <w:bidi w:val="0"/>
              <w:adjustRightInd w:val="0"/>
              <w:snapToGrid w:val="0"/>
              <w:spacing w:line="400" w:lineRule="exact"/>
              <w:ind w:firstLine="0" w:firstLineChars="0"/>
              <w:jc w:val="left"/>
              <w:textAlignment w:val="center"/>
              <w:rPr>
                <w:rFonts w:hint="eastAsia" w:ascii="宋体" w:hAnsi="宋体" w:cs="宋体"/>
                <w:b/>
                <w:bCs/>
                <w:color w:val="000000"/>
                <w:sz w:val="21"/>
                <w:szCs w:val="21"/>
              </w:rPr>
            </w:pPr>
            <w:r>
              <w:rPr>
                <w:rFonts w:hint="eastAsia" w:ascii="宋体" w:hAnsi="宋体" w:cs="宋体"/>
                <w:b/>
                <w:bCs/>
                <w:color w:val="000000"/>
                <w:sz w:val="21"/>
                <w:szCs w:val="21"/>
              </w:rPr>
              <w:t>一、采购项目概况</w:t>
            </w:r>
          </w:p>
          <w:p w14:paraId="7D813357">
            <w:pPr>
              <w:keepNext w:val="0"/>
              <w:keepLines w:val="0"/>
              <w:pageBreakBefore w:val="0"/>
              <w:widowControl/>
              <w:kinsoku/>
              <w:wordWrap/>
              <w:overflowPunct/>
              <w:topLinePunct w:val="0"/>
              <w:autoSpaceDE/>
              <w:autoSpaceDN/>
              <w:bidi w:val="0"/>
              <w:adjustRightInd w:val="0"/>
              <w:snapToGrid w:val="0"/>
              <w:spacing w:line="400" w:lineRule="exact"/>
              <w:ind w:firstLine="420" w:firstLineChars="200"/>
              <w:jc w:val="left"/>
              <w:textAlignment w:val="center"/>
              <w:rPr>
                <w:rFonts w:hint="eastAsia" w:ascii="宋体" w:hAnsi="宋体" w:eastAsia="宋体" w:cs="宋体"/>
                <w:color w:val="000000"/>
                <w:sz w:val="21"/>
                <w:szCs w:val="21"/>
                <w:lang w:eastAsia="zh-CN"/>
              </w:rPr>
            </w:pPr>
            <w:r>
              <w:rPr>
                <w:rFonts w:hint="eastAsia" w:ascii="宋体" w:hAnsi="宋体" w:cs="宋体"/>
                <w:color w:val="000000"/>
                <w:sz w:val="21"/>
                <w:szCs w:val="21"/>
              </w:rPr>
              <w:t>1.审计项目名称：</w:t>
            </w:r>
            <w:r>
              <w:rPr>
                <w:rFonts w:hint="eastAsia" w:ascii="宋体" w:hAnsi="宋体" w:cs="宋体"/>
                <w:color w:val="000000"/>
                <w:sz w:val="21"/>
                <w:szCs w:val="21"/>
                <w:lang w:eastAsia="zh-CN"/>
              </w:rPr>
              <w:t>广西中医药大学</w:t>
            </w:r>
            <w:r>
              <w:rPr>
                <w:rFonts w:hint="eastAsia" w:ascii="宋体" w:hAnsi="宋体" w:eastAsia="宋体" w:cs="宋体"/>
                <w:color w:val="000000"/>
                <w:sz w:val="21"/>
                <w:szCs w:val="21"/>
                <w:lang w:eastAsia="zh-CN"/>
              </w:rPr>
              <w:t>教学管理中心、民族医药标本展示中心、宿舍综合楼工程、留学生楼工程。</w:t>
            </w:r>
          </w:p>
          <w:p w14:paraId="3BD77A9F">
            <w:pPr>
              <w:keepNext w:val="0"/>
              <w:keepLines w:val="0"/>
              <w:pageBreakBefore w:val="0"/>
              <w:widowControl/>
              <w:kinsoku/>
              <w:wordWrap/>
              <w:overflowPunct/>
              <w:topLinePunct w:val="0"/>
              <w:autoSpaceDE/>
              <w:autoSpaceDN/>
              <w:bidi w:val="0"/>
              <w:adjustRightInd w:val="0"/>
              <w:snapToGrid w:val="0"/>
              <w:spacing w:line="400" w:lineRule="exact"/>
              <w:ind w:firstLine="420" w:firstLineChars="200"/>
              <w:jc w:val="left"/>
              <w:textAlignment w:val="center"/>
              <w:rPr>
                <w:rFonts w:hint="eastAsia" w:ascii="宋体" w:hAnsi="宋体" w:cs="宋体"/>
                <w:color w:val="000000"/>
                <w:sz w:val="21"/>
                <w:szCs w:val="21"/>
              </w:rPr>
            </w:pPr>
            <w:r>
              <w:rPr>
                <w:rFonts w:hint="eastAsia" w:ascii="宋体" w:hAnsi="宋体" w:cs="宋体"/>
                <w:color w:val="000000"/>
                <w:sz w:val="21"/>
                <w:szCs w:val="21"/>
              </w:rPr>
              <w:t>2.审计服务内容：对</w:t>
            </w:r>
            <w:r>
              <w:rPr>
                <w:rFonts w:hint="eastAsia" w:ascii="宋体" w:hAnsi="宋体" w:cs="宋体"/>
                <w:color w:val="000000"/>
                <w:sz w:val="21"/>
                <w:szCs w:val="21"/>
                <w:lang w:eastAsia="zh-CN"/>
              </w:rPr>
              <w:t>广西中医药大学</w:t>
            </w:r>
            <w:r>
              <w:rPr>
                <w:rFonts w:hint="eastAsia" w:ascii="宋体" w:hAnsi="宋体" w:eastAsia="宋体" w:cs="宋体"/>
                <w:color w:val="000000"/>
                <w:sz w:val="21"/>
                <w:szCs w:val="21"/>
                <w:lang w:eastAsia="zh-CN"/>
              </w:rPr>
              <w:t>教学管理中心、民族医药标本展示中心、宿舍综合楼工程、留学生楼工程</w:t>
            </w:r>
            <w:r>
              <w:rPr>
                <w:rFonts w:hint="eastAsia" w:ascii="宋体" w:hAnsi="宋体" w:cs="宋体"/>
                <w:color w:val="000000"/>
                <w:sz w:val="21"/>
                <w:szCs w:val="21"/>
              </w:rPr>
              <w:t>项目开展审计，编制工程决算相应报表，出具审计报告，配合采购人完成项目决算报审并取得主管部门批复确认。</w:t>
            </w:r>
          </w:p>
          <w:p w14:paraId="7D3E33D1">
            <w:pPr>
              <w:keepNext w:val="0"/>
              <w:keepLines w:val="0"/>
              <w:pageBreakBefore w:val="0"/>
              <w:widowControl/>
              <w:kinsoku/>
              <w:wordWrap/>
              <w:overflowPunct/>
              <w:topLinePunct w:val="0"/>
              <w:autoSpaceDE/>
              <w:autoSpaceDN/>
              <w:bidi w:val="0"/>
              <w:adjustRightInd w:val="0"/>
              <w:snapToGrid w:val="0"/>
              <w:spacing w:line="400" w:lineRule="exact"/>
              <w:ind w:firstLine="0" w:firstLineChars="0"/>
              <w:jc w:val="left"/>
              <w:textAlignment w:val="center"/>
              <w:rPr>
                <w:rFonts w:hint="eastAsia" w:ascii="宋体" w:hAnsi="宋体" w:cs="宋体"/>
                <w:b/>
                <w:bCs/>
                <w:color w:val="000000"/>
                <w:sz w:val="21"/>
                <w:szCs w:val="21"/>
              </w:rPr>
            </w:pPr>
            <w:r>
              <w:rPr>
                <w:rFonts w:hint="eastAsia" w:ascii="宋体" w:hAnsi="宋体" w:cs="宋体"/>
                <w:b/>
                <w:bCs/>
                <w:color w:val="000000"/>
                <w:sz w:val="21"/>
                <w:szCs w:val="21"/>
              </w:rPr>
              <w:t>二、委托审计项目概况</w:t>
            </w:r>
          </w:p>
          <w:p w14:paraId="5A6311AB">
            <w:pPr>
              <w:keepNext w:val="0"/>
              <w:keepLines w:val="0"/>
              <w:pageBreakBefore w:val="0"/>
              <w:widowControl/>
              <w:kinsoku/>
              <w:wordWrap/>
              <w:overflowPunct/>
              <w:topLinePunct w:val="0"/>
              <w:autoSpaceDE/>
              <w:autoSpaceDN/>
              <w:bidi w:val="0"/>
              <w:adjustRightInd w:val="0"/>
              <w:snapToGrid w:val="0"/>
              <w:spacing w:line="400" w:lineRule="exact"/>
              <w:ind w:firstLine="420" w:firstLineChars="200"/>
              <w:jc w:val="left"/>
              <w:textAlignment w:val="center"/>
              <w:rPr>
                <w:rFonts w:hint="default" w:ascii="宋体" w:hAnsi="宋体" w:cs="宋体"/>
                <w:color w:val="000000"/>
                <w:sz w:val="21"/>
                <w:szCs w:val="21"/>
                <w:lang w:val="en-US"/>
              </w:rPr>
            </w:pPr>
            <w:r>
              <w:rPr>
                <w:rFonts w:hint="eastAsia" w:ascii="宋体" w:hAnsi="宋体" w:cs="宋体"/>
                <w:color w:val="000000"/>
                <w:sz w:val="21"/>
                <w:szCs w:val="21"/>
                <w:lang w:eastAsia="zh-CN"/>
              </w:rPr>
              <w:t>广西中医药大学</w:t>
            </w:r>
            <w:r>
              <w:rPr>
                <w:rFonts w:hint="eastAsia" w:ascii="宋体" w:hAnsi="宋体" w:eastAsia="宋体" w:cs="宋体"/>
                <w:color w:val="000000"/>
                <w:sz w:val="21"/>
                <w:szCs w:val="21"/>
                <w:lang w:eastAsia="zh-CN"/>
              </w:rPr>
              <w:t>教学管理中心项目累计完成投资额6563.4</w:t>
            </w:r>
            <w:r>
              <w:rPr>
                <w:rFonts w:hint="eastAsia" w:ascii="宋体" w:hAnsi="宋体" w:eastAsia="宋体" w:cs="宋体"/>
                <w:color w:val="000000"/>
                <w:sz w:val="21"/>
                <w:szCs w:val="21"/>
                <w:lang w:val="en-US" w:eastAsia="zh-CN"/>
              </w:rPr>
              <w:t>9万元；</w:t>
            </w:r>
            <w:r>
              <w:rPr>
                <w:rFonts w:hint="eastAsia" w:ascii="宋体" w:hAnsi="宋体" w:eastAsia="宋体" w:cs="宋体"/>
                <w:color w:val="000000"/>
                <w:sz w:val="21"/>
                <w:szCs w:val="21"/>
                <w:lang w:eastAsia="zh-CN"/>
              </w:rPr>
              <w:t>民族医药标本展示中心项目累计投资额6214.6</w:t>
            </w:r>
            <w:r>
              <w:rPr>
                <w:rFonts w:hint="eastAsia" w:ascii="宋体" w:hAnsi="宋体" w:eastAsia="宋体" w:cs="宋体"/>
                <w:color w:val="000000"/>
                <w:sz w:val="21"/>
                <w:szCs w:val="21"/>
                <w:lang w:val="en-US" w:eastAsia="zh-CN"/>
              </w:rPr>
              <w:t>2万元</w:t>
            </w:r>
            <w:r>
              <w:rPr>
                <w:rFonts w:hint="eastAsia" w:ascii="宋体" w:hAnsi="宋体" w:eastAsia="宋体" w:cs="宋体"/>
                <w:color w:val="000000"/>
                <w:sz w:val="21"/>
                <w:szCs w:val="21"/>
                <w:lang w:eastAsia="zh-CN"/>
              </w:rPr>
              <w:t>、宿舍综合楼工程累计完成投资额4268.9</w:t>
            </w:r>
            <w:r>
              <w:rPr>
                <w:rFonts w:hint="eastAsia" w:ascii="宋体" w:hAnsi="宋体" w:eastAsia="宋体" w:cs="宋体"/>
                <w:color w:val="000000"/>
                <w:sz w:val="21"/>
                <w:szCs w:val="21"/>
                <w:lang w:val="en-US" w:eastAsia="zh-CN"/>
              </w:rPr>
              <w:t>7万元</w:t>
            </w:r>
            <w:r>
              <w:rPr>
                <w:rFonts w:hint="eastAsia" w:ascii="宋体" w:hAnsi="宋体" w:eastAsia="宋体" w:cs="宋体"/>
                <w:color w:val="000000"/>
                <w:sz w:val="21"/>
                <w:szCs w:val="21"/>
                <w:lang w:eastAsia="zh-CN"/>
              </w:rPr>
              <w:t>、留学生楼工程累计完成投资额9043.4</w:t>
            </w:r>
            <w:r>
              <w:rPr>
                <w:rFonts w:hint="eastAsia" w:ascii="宋体" w:hAnsi="宋体" w:eastAsia="宋体" w:cs="宋体"/>
                <w:color w:val="000000"/>
                <w:sz w:val="21"/>
                <w:szCs w:val="21"/>
                <w:lang w:val="en-US" w:eastAsia="zh-CN"/>
              </w:rPr>
              <w:t>7万元，4个项目累计完成投资额共计26090.54万元。</w:t>
            </w:r>
          </w:p>
          <w:p w14:paraId="7128CD47">
            <w:pPr>
              <w:keepNext w:val="0"/>
              <w:keepLines w:val="0"/>
              <w:pageBreakBefore w:val="0"/>
              <w:widowControl/>
              <w:kinsoku/>
              <w:wordWrap/>
              <w:overflowPunct/>
              <w:topLinePunct w:val="0"/>
              <w:autoSpaceDE/>
              <w:autoSpaceDN/>
              <w:bidi w:val="0"/>
              <w:adjustRightInd w:val="0"/>
              <w:snapToGrid w:val="0"/>
              <w:spacing w:line="400" w:lineRule="exact"/>
              <w:ind w:firstLine="0" w:firstLineChars="0"/>
              <w:jc w:val="left"/>
              <w:textAlignment w:val="center"/>
              <w:rPr>
                <w:rFonts w:hint="eastAsia" w:ascii="宋体" w:hAnsi="宋体" w:cs="宋体"/>
                <w:b/>
                <w:bCs/>
                <w:color w:val="000000"/>
                <w:sz w:val="21"/>
                <w:szCs w:val="21"/>
              </w:rPr>
            </w:pPr>
            <w:r>
              <w:rPr>
                <w:rFonts w:hint="eastAsia" w:ascii="宋体" w:hAnsi="宋体" w:cs="宋体"/>
                <w:b/>
                <w:bCs/>
                <w:color w:val="000000"/>
                <w:sz w:val="21"/>
                <w:szCs w:val="21"/>
              </w:rPr>
              <w:t>三、服务费控制价</w:t>
            </w:r>
          </w:p>
          <w:p w14:paraId="0909C900">
            <w:pPr>
              <w:keepNext w:val="0"/>
              <w:keepLines w:val="0"/>
              <w:pageBreakBefore w:val="0"/>
              <w:widowControl/>
              <w:kinsoku/>
              <w:wordWrap/>
              <w:overflowPunct/>
              <w:topLinePunct w:val="0"/>
              <w:autoSpaceDE/>
              <w:autoSpaceDN/>
              <w:bidi w:val="0"/>
              <w:adjustRightInd w:val="0"/>
              <w:snapToGrid w:val="0"/>
              <w:spacing w:line="400" w:lineRule="exact"/>
              <w:ind w:firstLine="420" w:firstLineChars="200"/>
              <w:jc w:val="left"/>
              <w:textAlignment w:val="center"/>
              <w:rPr>
                <w:rFonts w:hint="default" w:eastAsiaTheme="minorEastAsia"/>
                <w:lang w:val="en-US" w:eastAsia="zh-CN"/>
              </w:rPr>
            </w:pPr>
            <w:r>
              <w:rPr>
                <w:rFonts w:hint="eastAsia" w:ascii="宋体" w:hAnsi="宋体" w:cs="宋体"/>
                <w:color w:val="000000"/>
                <w:sz w:val="21"/>
                <w:szCs w:val="21"/>
              </w:rPr>
              <w:t>竣工财务决算审计服务费</w:t>
            </w:r>
            <w:r>
              <w:rPr>
                <w:rFonts w:hint="eastAsia" w:ascii="宋体" w:hAnsi="宋体" w:cs="宋体"/>
                <w:color w:val="000000"/>
                <w:sz w:val="21"/>
                <w:szCs w:val="21"/>
                <w:lang w:eastAsia="zh-CN"/>
              </w:rPr>
              <w:t>参照</w:t>
            </w:r>
            <w:r>
              <w:rPr>
                <w:rFonts w:hint="eastAsia" w:ascii="宋体" w:hAnsi="宋体" w:cs="宋体"/>
                <w:color w:val="000000"/>
                <w:sz w:val="21"/>
                <w:szCs w:val="21"/>
              </w:rPr>
              <w:t>《广西壮族自治区物价局关于会计师事务所服务收费有关问题的通知》（桂价费〔2012〕74号）</w:t>
            </w:r>
            <w:r>
              <w:rPr>
                <w:rFonts w:hint="eastAsia" w:ascii="宋体" w:hAnsi="宋体" w:cs="宋体"/>
                <w:color w:val="000000"/>
                <w:sz w:val="21"/>
                <w:szCs w:val="21"/>
                <w:lang w:eastAsia="zh-CN"/>
              </w:rPr>
              <w:t>的收费标准</w:t>
            </w:r>
            <w:r>
              <w:rPr>
                <w:rFonts w:hint="eastAsia" w:ascii="宋体" w:hAnsi="宋体" w:cs="宋体"/>
                <w:color w:val="000000"/>
                <w:sz w:val="21"/>
                <w:szCs w:val="21"/>
              </w:rPr>
              <w:t>，</w:t>
            </w:r>
            <w:r>
              <w:rPr>
                <w:rFonts w:hint="eastAsia" w:ascii="宋体" w:hAnsi="宋体" w:cs="宋体"/>
                <w:color w:val="000000"/>
                <w:sz w:val="21"/>
                <w:szCs w:val="21"/>
                <w:lang w:eastAsia="zh-CN"/>
              </w:rPr>
              <w:t>并做相应下浮，</w:t>
            </w:r>
            <w:r>
              <w:rPr>
                <w:rFonts w:hint="eastAsia" w:ascii="宋体" w:hAnsi="宋体" w:cs="宋体"/>
                <w:color w:val="000000"/>
                <w:sz w:val="21"/>
                <w:szCs w:val="21"/>
              </w:rPr>
              <w:t>服务费采购控制价</w:t>
            </w:r>
            <w:r>
              <w:rPr>
                <w:rFonts w:hint="eastAsia" w:ascii="宋体" w:hAnsi="宋体" w:cs="宋体"/>
                <w:color w:val="000000"/>
                <w:sz w:val="21"/>
                <w:szCs w:val="21"/>
                <w:lang w:eastAsia="zh-CN"/>
              </w:rPr>
              <w:t>上限为</w:t>
            </w:r>
            <w:r>
              <w:rPr>
                <w:rFonts w:hint="eastAsia" w:ascii="宋体" w:hAnsi="宋体" w:cs="宋体"/>
                <w:color w:val="000000"/>
                <w:sz w:val="21"/>
                <w:szCs w:val="21"/>
                <w:lang w:val="en-US" w:eastAsia="zh-CN"/>
              </w:rPr>
              <w:t>15万元。</w:t>
            </w:r>
          </w:p>
          <w:p w14:paraId="36CA241E">
            <w:pPr>
              <w:keepNext w:val="0"/>
              <w:keepLines w:val="0"/>
              <w:pageBreakBefore w:val="0"/>
              <w:widowControl/>
              <w:kinsoku/>
              <w:wordWrap/>
              <w:overflowPunct/>
              <w:topLinePunct w:val="0"/>
              <w:autoSpaceDE/>
              <w:autoSpaceDN/>
              <w:bidi w:val="0"/>
              <w:adjustRightInd w:val="0"/>
              <w:snapToGrid w:val="0"/>
              <w:spacing w:line="400" w:lineRule="exact"/>
              <w:ind w:firstLine="0" w:firstLineChars="0"/>
              <w:jc w:val="left"/>
              <w:textAlignment w:val="center"/>
              <w:rPr>
                <w:rFonts w:hint="eastAsia" w:ascii="宋体" w:hAnsi="宋体" w:cs="宋体"/>
                <w:b/>
                <w:bCs/>
                <w:color w:val="000000"/>
                <w:sz w:val="21"/>
                <w:szCs w:val="21"/>
              </w:rPr>
            </w:pPr>
            <w:r>
              <w:rPr>
                <w:rFonts w:hint="eastAsia" w:ascii="宋体" w:hAnsi="宋体" w:cs="宋体"/>
                <w:b/>
                <w:bCs/>
                <w:color w:val="000000"/>
                <w:sz w:val="21"/>
                <w:szCs w:val="21"/>
              </w:rPr>
              <w:t>四、服务内容及要求</w:t>
            </w:r>
          </w:p>
          <w:p w14:paraId="6FEB9ECF">
            <w:pPr>
              <w:keepNext w:val="0"/>
              <w:keepLines w:val="0"/>
              <w:pageBreakBefore w:val="0"/>
              <w:widowControl/>
              <w:kinsoku/>
              <w:wordWrap/>
              <w:overflowPunct/>
              <w:topLinePunct w:val="0"/>
              <w:autoSpaceDE/>
              <w:autoSpaceDN/>
              <w:bidi w:val="0"/>
              <w:adjustRightInd w:val="0"/>
              <w:snapToGrid w:val="0"/>
              <w:spacing w:line="400" w:lineRule="exact"/>
              <w:ind w:firstLine="420" w:firstLineChars="200"/>
              <w:jc w:val="left"/>
              <w:textAlignment w:val="center"/>
              <w:rPr>
                <w:rFonts w:hint="eastAsia" w:ascii="宋体" w:hAnsi="宋体" w:cs="宋体"/>
                <w:color w:val="000000"/>
                <w:sz w:val="21"/>
                <w:szCs w:val="21"/>
              </w:rPr>
            </w:pPr>
            <w:r>
              <w:rPr>
                <w:rFonts w:hint="eastAsia" w:ascii="宋体" w:hAnsi="宋体" w:cs="宋体"/>
                <w:color w:val="000000"/>
                <w:sz w:val="21"/>
                <w:szCs w:val="21"/>
              </w:rPr>
              <w:t>1.根据《中华注册会计师独立审计准则》《会计师事务所从事基本建设项目工程预算、决算、结算审核暂行办法》《财政投资项目评审操作规程》《基本建设项目竣工财务决算管理暂行办法》《广西壮族自治区本级基本建设项目竣工财务决算审批批复操作规程》等相关规定，对采购人委托的建设项目的工程、财务资料及项目建设全过程管理情况进行审计。通过执行审计工作，对项目竣工财务编制的真实性、准确性、合法性、完整性及工程项目建设程序、组织管理、会计核算情况、项目概算执行情况等进行评价，出具财务决算审计报告，编制财务决算报表，形成项目审计档案。配合采购人将决算成果报相关主管部门审核，并取得决算批复文件。</w:t>
            </w:r>
          </w:p>
          <w:p w14:paraId="14290EF1">
            <w:pPr>
              <w:keepNext w:val="0"/>
              <w:keepLines w:val="0"/>
              <w:pageBreakBefore w:val="0"/>
              <w:widowControl/>
              <w:kinsoku/>
              <w:wordWrap/>
              <w:overflowPunct/>
              <w:topLinePunct w:val="0"/>
              <w:autoSpaceDE/>
              <w:autoSpaceDN/>
              <w:bidi w:val="0"/>
              <w:adjustRightInd w:val="0"/>
              <w:snapToGrid w:val="0"/>
              <w:spacing w:line="400" w:lineRule="exact"/>
              <w:ind w:firstLine="420" w:firstLineChars="200"/>
              <w:jc w:val="left"/>
              <w:textAlignment w:val="center"/>
              <w:rPr>
                <w:rFonts w:hint="eastAsia" w:ascii="宋体" w:hAnsi="宋体" w:cs="宋体"/>
                <w:color w:val="000000"/>
                <w:sz w:val="21"/>
                <w:szCs w:val="21"/>
                <w:highlight w:val="none"/>
              </w:rPr>
            </w:pPr>
            <w:r>
              <w:rPr>
                <w:rFonts w:hint="eastAsia" w:ascii="宋体" w:hAnsi="宋体" w:cs="宋体"/>
                <w:color w:val="000000"/>
                <w:sz w:val="21"/>
                <w:szCs w:val="21"/>
                <w:highlight w:val="none"/>
              </w:rPr>
              <w:t>2.人员配备：应成立审计组，审计组应配备审计人员，审计组人员数≥4人，其中项目负责人、主审人必须具备注册会计师资格，并具有中级</w:t>
            </w:r>
            <w:r>
              <w:rPr>
                <w:rFonts w:hint="eastAsia" w:ascii="宋体" w:hAnsi="宋体" w:cs="宋体"/>
                <w:color w:val="000000"/>
                <w:sz w:val="21"/>
                <w:szCs w:val="21"/>
                <w:highlight w:val="none"/>
                <w:lang w:eastAsia="zh-CN"/>
              </w:rPr>
              <w:t>会计师</w:t>
            </w:r>
            <w:r>
              <w:rPr>
                <w:rFonts w:hint="eastAsia" w:ascii="宋体" w:hAnsi="宋体" w:cs="宋体"/>
                <w:color w:val="000000"/>
                <w:sz w:val="21"/>
                <w:szCs w:val="21"/>
                <w:highlight w:val="none"/>
              </w:rPr>
              <w:t>及以上职称</w:t>
            </w:r>
            <w:r>
              <w:rPr>
                <w:rFonts w:hint="eastAsia" w:ascii="宋体" w:hAnsi="宋体" w:cs="宋体"/>
                <w:color w:val="000000"/>
                <w:sz w:val="21"/>
                <w:szCs w:val="21"/>
                <w:highlight w:val="none"/>
                <w:lang w:eastAsia="zh-CN"/>
              </w:rPr>
              <w:t>；</w:t>
            </w:r>
            <w:r>
              <w:rPr>
                <w:rFonts w:hint="eastAsia" w:ascii="宋体" w:hAnsi="宋体" w:cs="宋体"/>
                <w:color w:val="000000"/>
                <w:sz w:val="21"/>
                <w:szCs w:val="21"/>
                <w:highlight w:val="none"/>
              </w:rPr>
              <w:t>其他成员需要具有初级</w:t>
            </w:r>
            <w:r>
              <w:rPr>
                <w:rFonts w:hint="eastAsia" w:ascii="宋体" w:hAnsi="宋体" w:cs="宋体"/>
                <w:color w:val="000000"/>
                <w:sz w:val="21"/>
                <w:szCs w:val="21"/>
                <w:highlight w:val="none"/>
                <w:lang w:eastAsia="zh-CN"/>
              </w:rPr>
              <w:t>会计师</w:t>
            </w:r>
            <w:r>
              <w:rPr>
                <w:rFonts w:hint="eastAsia" w:ascii="宋体" w:hAnsi="宋体" w:cs="宋体"/>
                <w:color w:val="000000"/>
                <w:sz w:val="21"/>
                <w:szCs w:val="21"/>
                <w:highlight w:val="none"/>
              </w:rPr>
              <w:t>及以上职称。</w:t>
            </w:r>
            <w:r>
              <w:rPr>
                <w:rFonts w:hint="eastAsia" w:ascii="宋体" w:hAnsi="宋体" w:cs="宋体"/>
                <w:b/>
                <w:bCs/>
                <w:color w:val="000000"/>
                <w:sz w:val="21"/>
                <w:szCs w:val="21"/>
                <w:highlight w:val="none"/>
              </w:rPr>
              <w:t>投标时提供</w:t>
            </w:r>
            <w:r>
              <w:rPr>
                <w:rFonts w:hint="eastAsia" w:ascii="宋体" w:hAnsi="宋体" w:cs="宋体"/>
                <w:b/>
                <w:bCs/>
                <w:color w:val="000000"/>
                <w:sz w:val="21"/>
                <w:szCs w:val="21"/>
                <w:highlight w:val="none"/>
                <w:lang w:val="en-US" w:eastAsia="zh-CN"/>
              </w:rPr>
              <w:t>上述</w:t>
            </w:r>
            <w:r>
              <w:rPr>
                <w:rFonts w:hint="eastAsia" w:ascii="宋体" w:hAnsi="宋体" w:cs="宋体"/>
                <w:b/>
                <w:bCs/>
                <w:color w:val="000000"/>
                <w:sz w:val="21"/>
                <w:szCs w:val="21"/>
                <w:highlight w:val="none"/>
              </w:rPr>
              <w:t>人员名单及相关支撑证明材料</w:t>
            </w:r>
            <w:r>
              <w:rPr>
                <w:rFonts w:hint="eastAsia" w:ascii="宋体" w:hAnsi="宋体" w:cs="宋体"/>
                <w:b/>
                <w:bCs/>
                <w:color w:val="000000"/>
                <w:sz w:val="21"/>
                <w:szCs w:val="21"/>
                <w:highlight w:val="none"/>
                <w:lang w:val="en-US" w:eastAsia="zh-CN"/>
              </w:rPr>
              <w:t>并加盖单位公章</w:t>
            </w:r>
            <w:r>
              <w:rPr>
                <w:rFonts w:hint="eastAsia" w:ascii="宋体" w:hAnsi="宋体" w:cs="宋体"/>
                <w:b/>
                <w:bCs/>
                <w:color w:val="000000"/>
                <w:sz w:val="21"/>
                <w:szCs w:val="21"/>
                <w:highlight w:val="none"/>
              </w:rPr>
              <w:t>，</w:t>
            </w:r>
            <w:r>
              <w:rPr>
                <w:rFonts w:hint="eastAsia" w:ascii="宋体" w:hAnsi="宋体" w:cs="宋体"/>
                <w:b/>
                <w:bCs/>
                <w:color w:val="000000"/>
                <w:sz w:val="21"/>
                <w:szCs w:val="21"/>
                <w:highlight w:val="none"/>
                <w:lang w:val="en-US" w:eastAsia="zh-CN"/>
              </w:rPr>
              <w:t>且需提供服务人员自2024年1月以来连续3个月缴纳社保费的缴费凭证复印件并加盖单位公章，</w:t>
            </w:r>
            <w:r>
              <w:rPr>
                <w:rFonts w:hint="eastAsia" w:ascii="宋体" w:hAnsi="宋体" w:cs="宋体"/>
                <w:b/>
                <w:bCs/>
                <w:color w:val="000000"/>
                <w:sz w:val="21"/>
                <w:szCs w:val="21"/>
                <w:highlight w:val="none"/>
              </w:rPr>
              <w:t>否则投标无效</w:t>
            </w:r>
            <w:r>
              <w:rPr>
                <w:rFonts w:hint="eastAsia" w:ascii="宋体" w:hAnsi="宋体" w:cs="宋体"/>
                <w:color w:val="000000"/>
                <w:sz w:val="21"/>
                <w:szCs w:val="21"/>
                <w:highlight w:val="none"/>
              </w:rPr>
              <w:t>。</w:t>
            </w:r>
          </w:p>
          <w:p w14:paraId="2B2F46C9">
            <w:pPr>
              <w:pStyle w:val="7"/>
              <w:keepNext w:val="0"/>
              <w:keepLines w:val="0"/>
              <w:pageBreakBefore w:val="0"/>
              <w:widowControl w:val="0"/>
              <w:shd w:val="clear" w:color="auto" w:fill="auto"/>
              <w:kinsoku/>
              <w:wordWrap/>
              <w:overflowPunct/>
              <w:topLinePunct w:val="0"/>
              <w:autoSpaceDE/>
              <w:autoSpaceDN/>
              <w:bidi w:val="0"/>
              <w:adjustRightInd w:val="0"/>
              <w:snapToGrid w:val="0"/>
              <w:spacing w:line="400" w:lineRule="exact"/>
              <w:ind w:firstLine="420" w:firstLineChars="200"/>
              <w:textAlignment w:val="auto"/>
              <w:rPr>
                <w:rFonts w:hint="eastAsia" w:ascii="宋体" w:hAnsi="宋体" w:cs="宋体"/>
                <w:color w:val="000000"/>
                <w:sz w:val="21"/>
                <w:szCs w:val="21"/>
              </w:rPr>
            </w:pPr>
            <w:r>
              <w:rPr>
                <w:rFonts w:hint="eastAsia" w:ascii="宋体" w:hAnsi="宋体" w:cs="宋体"/>
                <w:color w:val="000000"/>
                <w:sz w:val="21"/>
                <w:szCs w:val="21"/>
                <w:lang w:val="en-US" w:eastAsia="zh-CN"/>
              </w:rPr>
              <w:t>3.</w:t>
            </w:r>
            <w:r>
              <w:rPr>
                <w:rFonts w:hint="eastAsia" w:ascii="宋体" w:hAnsi="宋体" w:eastAsia="宋体" w:cs="宋体"/>
                <w:color w:val="000000"/>
                <w:sz w:val="21"/>
                <w:szCs w:val="21"/>
              </w:rPr>
              <w:t>项目配备人员应具有良好的职业道德，具有完成本项目的专业技术水平和较强沟通协调能力，工作认真负责，客观公正。投标方案确定的审计组人员应与实际参与审计人员一致，不得随意变更参加审计工作的人员</w:t>
            </w:r>
            <w:r>
              <w:rPr>
                <w:rFonts w:hint="eastAsia" w:ascii="宋体" w:hAnsi="宋体" w:eastAsia="宋体" w:cs="宋体"/>
                <w:color w:val="000000"/>
                <w:sz w:val="21"/>
                <w:szCs w:val="21"/>
                <w:lang w:eastAsia="zh-CN"/>
              </w:rPr>
              <w:t>，</w:t>
            </w:r>
            <w:r>
              <w:rPr>
                <w:rFonts w:hint="eastAsia" w:ascii="宋体" w:hAnsi="宋体" w:eastAsia="宋体" w:cs="宋体"/>
                <w:color w:val="auto"/>
                <w:sz w:val="21"/>
                <w:szCs w:val="21"/>
                <w:highlight w:val="none"/>
                <w:lang w:val="en-US" w:eastAsia="zh-CN"/>
              </w:rPr>
              <w:t>确保服务人员相对稳定，以保证审计工作的正常进行。成交供应商因人员离职等情形不得不调整审计人员，更换项目负责人或主审人的应提前7日历日向采购人书面申请，经采购人同意后方可更换；更换其他审计人员应提前3日历日向采购人书面申请并经采购人同意后方可更换。调整补入人员的专业能力（职称、学历、执业资格）应当等于或高于被更换的相应人员。</w:t>
            </w:r>
          </w:p>
          <w:p w14:paraId="546FE883">
            <w:pPr>
              <w:keepNext w:val="0"/>
              <w:keepLines w:val="0"/>
              <w:pageBreakBefore w:val="0"/>
              <w:widowControl/>
              <w:kinsoku/>
              <w:wordWrap/>
              <w:overflowPunct/>
              <w:topLinePunct w:val="0"/>
              <w:autoSpaceDE/>
              <w:autoSpaceDN/>
              <w:bidi w:val="0"/>
              <w:adjustRightInd w:val="0"/>
              <w:snapToGrid w:val="0"/>
              <w:spacing w:line="400" w:lineRule="exact"/>
              <w:ind w:firstLine="420" w:firstLineChars="200"/>
              <w:jc w:val="left"/>
              <w:textAlignment w:val="center"/>
              <w:rPr>
                <w:rFonts w:hint="eastAsia" w:ascii="宋体" w:hAnsi="宋体" w:cs="宋体"/>
                <w:color w:val="000000"/>
                <w:sz w:val="21"/>
                <w:szCs w:val="21"/>
              </w:rPr>
            </w:pPr>
            <w:r>
              <w:rPr>
                <w:rFonts w:hint="eastAsia" w:ascii="宋体" w:hAnsi="宋体" w:cs="宋体"/>
                <w:color w:val="000000"/>
                <w:sz w:val="21"/>
                <w:szCs w:val="21"/>
                <w:lang w:val="en-US" w:eastAsia="zh-CN"/>
              </w:rPr>
              <w:t>4</w:t>
            </w:r>
            <w:r>
              <w:rPr>
                <w:rFonts w:hint="eastAsia" w:ascii="宋体" w:hAnsi="宋体" w:cs="宋体"/>
                <w:color w:val="000000"/>
                <w:sz w:val="21"/>
                <w:szCs w:val="21"/>
              </w:rPr>
              <w:t>.审计质量要求：真实反映审计结果，客观评价审计事项，做到证据充分、依据合理、定性准确、建议可行。决算审计成果资料编制深度和广度应满足财政部门和项目主管部门对项目竣工财务决算的审核及批复的要求。</w:t>
            </w:r>
          </w:p>
          <w:p w14:paraId="73347157">
            <w:pPr>
              <w:autoSpaceDE w:val="0"/>
              <w:autoSpaceDN w:val="0"/>
              <w:adjustRightInd w:val="0"/>
              <w:spacing w:line="240" w:lineRule="atLeast"/>
              <w:ind w:firstLine="420" w:firstLineChars="200"/>
              <w:jc w:val="left"/>
            </w:pPr>
            <w:r>
              <w:rPr>
                <w:rFonts w:hint="eastAsia" w:ascii="宋体" w:hAnsi="宋体" w:cs="宋体"/>
                <w:color w:val="000000"/>
                <w:sz w:val="21"/>
                <w:szCs w:val="21"/>
                <w:lang w:val="en-US" w:eastAsia="zh-CN"/>
              </w:rPr>
              <w:t>5</w:t>
            </w:r>
            <w:r>
              <w:rPr>
                <w:rFonts w:hint="eastAsia" w:ascii="宋体" w:hAnsi="宋体" w:cs="宋体"/>
                <w:color w:val="000000"/>
                <w:sz w:val="21"/>
                <w:szCs w:val="21"/>
              </w:rPr>
              <w:t>.其他要求: 遵守《注册会计师职业道德行为准则》，按本项目的要求作出服务方案和实质性承诺。成交供应商不得将审计项目转交、转包第三方完成。</w:t>
            </w:r>
          </w:p>
        </w:tc>
      </w:tr>
      <w:tr w14:paraId="1F6FA9D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5" w:hRule="atLeast"/>
          <w:jc w:val="center"/>
        </w:trPr>
        <w:tc>
          <w:tcPr>
            <w:tcW w:w="9209" w:type="dxa"/>
            <w:gridSpan w:val="6"/>
            <w:tcBorders>
              <w:top w:val="single" w:color="auto" w:sz="4" w:space="0"/>
              <w:left w:val="single" w:color="auto" w:sz="4" w:space="0"/>
              <w:bottom w:val="single" w:color="auto" w:sz="4" w:space="0"/>
              <w:right w:val="single" w:color="auto" w:sz="4" w:space="0"/>
            </w:tcBorders>
            <w:vAlign w:val="center"/>
          </w:tcPr>
          <w:p w14:paraId="3944CCC0">
            <w:pPr>
              <w:tabs>
                <w:tab w:val="left" w:pos="1820"/>
              </w:tabs>
              <w:spacing w:line="360" w:lineRule="auto"/>
              <w:rPr>
                <w:rFonts w:hint="eastAsia" w:ascii="宋体" w:hAnsi="宋体" w:cs="宋体"/>
                <w:kern w:val="0"/>
                <w:szCs w:val="21"/>
              </w:rPr>
            </w:pPr>
            <w:r>
              <w:rPr>
                <w:rFonts w:hint="eastAsia" w:ascii="宋体" w:hAnsi="宋体" w:cs="宋体"/>
                <w:kern w:val="0"/>
                <w:szCs w:val="21"/>
              </w:rPr>
              <w:t>二、商务需求</w:t>
            </w:r>
          </w:p>
        </w:tc>
      </w:tr>
      <w:tr w14:paraId="027ED3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96" w:hRule="atLeast"/>
          <w:jc w:val="center"/>
        </w:trPr>
        <w:tc>
          <w:tcPr>
            <w:tcW w:w="1813" w:type="dxa"/>
            <w:gridSpan w:val="2"/>
            <w:tcBorders>
              <w:top w:val="single" w:color="auto" w:sz="4" w:space="0"/>
              <w:left w:val="single" w:color="auto" w:sz="4" w:space="0"/>
              <w:bottom w:val="single" w:color="auto" w:sz="4" w:space="0"/>
              <w:right w:val="single" w:color="auto" w:sz="4" w:space="0"/>
            </w:tcBorders>
            <w:vAlign w:val="center"/>
          </w:tcPr>
          <w:p w14:paraId="19D3202E">
            <w:pPr>
              <w:autoSpaceDE w:val="0"/>
              <w:autoSpaceDN w:val="0"/>
              <w:adjustRightInd w:val="0"/>
              <w:spacing w:line="360" w:lineRule="auto"/>
              <w:jc w:val="left"/>
              <w:rPr>
                <w:rFonts w:hint="eastAsia" w:ascii="宋体" w:hAnsi="宋体" w:cs="宋体"/>
                <w:kern w:val="0"/>
                <w:szCs w:val="21"/>
              </w:rPr>
            </w:pPr>
            <w:r>
              <w:rPr>
                <w:rFonts w:hint="eastAsia" w:ascii="宋体" w:hAnsi="宋体"/>
                <w:szCs w:val="21"/>
                <w:lang w:eastAsia="zh-CN"/>
              </w:rPr>
              <w:t>服务</w:t>
            </w:r>
            <w:r>
              <w:rPr>
                <w:rFonts w:hint="eastAsia" w:ascii="宋体" w:hAnsi="宋体"/>
                <w:szCs w:val="21"/>
              </w:rPr>
              <w:t>期限及地点</w:t>
            </w:r>
          </w:p>
        </w:tc>
        <w:tc>
          <w:tcPr>
            <w:tcW w:w="7396" w:type="dxa"/>
            <w:gridSpan w:val="4"/>
            <w:tcBorders>
              <w:top w:val="single" w:color="auto" w:sz="4" w:space="0"/>
              <w:left w:val="single" w:color="auto" w:sz="4" w:space="0"/>
              <w:bottom w:val="single" w:color="auto" w:sz="4" w:space="0"/>
              <w:right w:val="single" w:color="auto" w:sz="4" w:space="0"/>
            </w:tcBorders>
            <w:vAlign w:val="center"/>
          </w:tcPr>
          <w:p w14:paraId="522DDE5D">
            <w:pPr>
              <w:keepNext w:val="0"/>
              <w:keepLines w:val="0"/>
              <w:pageBreakBefore w:val="0"/>
              <w:widowControl/>
              <w:kinsoku/>
              <w:wordWrap/>
              <w:overflowPunct/>
              <w:topLinePunct w:val="0"/>
              <w:autoSpaceDE/>
              <w:autoSpaceDN/>
              <w:bidi w:val="0"/>
              <w:adjustRightInd w:val="0"/>
              <w:snapToGrid w:val="0"/>
              <w:spacing w:line="400" w:lineRule="exact"/>
              <w:ind w:firstLine="420" w:firstLineChars="200"/>
              <w:jc w:val="left"/>
              <w:textAlignment w:val="center"/>
              <w:rPr>
                <w:rFonts w:hint="eastAsia" w:ascii="宋体" w:hAnsi="宋体" w:cs="宋体"/>
                <w:kern w:val="0"/>
                <w:szCs w:val="21"/>
              </w:rPr>
            </w:pPr>
            <w:r>
              <w:rPr>
                <w:rFonts w:ascii="宋体" w:hAnsi="宋体" w:cs="宋体"/>
                <w:b w:val="0"/>
                <w:bCs w:val="0"/>
                <w:kern w:val="0"/>
                <w:szCs w:val="21"/>
              </w:rPr>
              <w:t>1</w:t>
            </w:r>
            <w:r>
              <w:rPr>
                <w:rFonts w:hint="eastAsia" w:ascii="宋体" w:hAnsi="宋体" w:cs="宋体"/>
                <w:b w:val="0"/>
                <w:bCs w:val="0"/>
                <w:kern w:val="0"/>
                <w:szCs w:val="21"/>
                <w:lang w:val="en-US" w:eastAsia="zh-CN"/>
              </w:rPr>
              <w:t>.</w:t>
            </w:r>
            <w:r>
              <w:rPr>
                <w:rFonts w:hint="eastAsia" w:ascii="宋体" w:hAnsi="宋体" w:eastAsia="宋体" w:cs="宋体"/>
                <w:b w:val="0"/>
                <w:bCs w:val="0"/>
                <w:kern w:val="0"/>
                <w:sz w:val="21"/>
                <w:szCs w:val="21"/>
                <w:highlight w:val="none"/>
              </w:rPr>
              <w:t>自签订合同之日起</w:t>
            </w:r>
            <w:r>
              <w:rPr>
                <w:rFonts w:hint="eastAsia" w:ascii="宋体" w:hAnsi="宋体" w:eastAsia="宋体" w:cs="宋体"/>
                <w:color w:val="000000"/>
                <w:sz w:val="21"/>
                <w:szCs w:val="21"/>
                <w:lang w:val="en-US" w:eastAsia="zh-CN"/>
              </w:rPr>
              <w:t>20</w:t>
            </w:r>
            <w:r>
              <w:rPr>
                <w:rFonts w:hint="eastAsia" w:ascii="宋体" w:hAnsi="宋体" w:eastAsia="宋体" w:cs="宋体"/>
                <w:color w:val="000000"/>
                <w:sz w:val="21"/>
                <w:szCs w:val="21"/>
                <w:lang w:eastAsia="zh-CN"/>
              </w:rPr>
              <w:t>日历</w:t>
            </w:r>
            <w:r>
              <w:rPr>
                <w:rFonts w:hint="eastAsia" w:ascii="宋体" w:hAnsi="宋体" w:eastAsia="宋体" w:cs="宋体"/>
                <w:color w:val="000000"/>
                <w:sz w:val="21"/>
                <w:szCs w:val="21"/>
              </w:rPr>
              <w:t>日内完成审计工作，提交审计报告初稿</w:t>
            </w:r>
            <w:r>
              <w:rPr>
                <w:rFonts w:hint="eastAsia" w:ascii="宋体" w:hAnsi="宋体" w:eastAsia="宋体" w:cs="宋体"/>
                <w:color w:val="000000"/>
                <w:sz w:val="21"/>
                <w:szCs w:val="21"/>
                <w:lang w:val="en-US" w:eastAsia="zh-CN"/>
              </w:rPr>
              <w:t>;</w:t>
            </w:r>
            <w:r>
              <w:rPr>
                <w:rFonts w:hint="eastAsia" w:ascii="宋体" w:hAnsi="宋体" w:eastAsia="宋体" w:cs="宋体"/>
                <w:color w:val="000000"/>
                <w:sz w:val="21"/>
                <w:szCs w:val="21"/>
              </w:rPr>
              <w:t>审核报告初稿经确认后5</w:t>
            </w:r>
            <w:r>
              <w:rPr>
                <w:rFonts w:hint="eastAsia" w:ascii="宋体" w:hAnsi="宋体" w:eastAsia="宋体" w:cs="宋体"/>
                <w:color w:val="000000"/>
                <w:sz w:val="21"/>
                <w:szCs w:val="21"/>
                <w:lang w:eastAsia="zh-CN"/>
              </w:rPr>
              <w:t>日历</w:t>
            </w:r>
            <w:r>
              <w:rPr>
                <w:rFonts w:hint="eastAsia" w:ascii="宋体" w:hAnsi="宋体" w:eastAsia="宋体" w:cs="宋体"/>
                <w:color w:val="000000"/>
                <w:sz w:val="21"/>
                <w:szCs w:val="21"/>
              </w:rPr>
              <w:t>日内出具审计报告征求意见稿</w:t>
            </w:r>
            <w:r>
              <w:rPr>
                <w:rFonts w:hint="eastAsia" w:ascii="宋体" w:hAnsi="宋体" w:eastAsia="宋体" w:cs="宋体"/>
                <w:color w:val="000000"/>
                <w:sz w:val="21"/>
                <w:szCs w:val="21"/>
                <w:lang w:val="en-US" w:eastAsia="zh-CN"/>
              </w:rPr>
              <w:t>;</w:t>
            </w:r>
            <w:r>
              <w:rPr>
                <w:rFonts w:hint="eastAsia" w:ascii="宋体" w:hAnsi="宋体" w:eastAsia="宋体" w:cs="宋体"/>
                <w:color w:val="000000"/>
                <w:sz w:val="21"/>
                <w:szCs w:val="21"/>
              </w:rPr>
              <w:t>完成意见征求后5</w:t>
            </w:r>
            <w:r>
              <w:rPr>
                <w:rFonts w:hint="eastAsia" w:ascii="宋体" w:hAnsi="宋体" w:eastAsia="宋体" w:cs="宋体"/>
                <w:color w:val="000000"/>
                <w:sz w:val="21"/>
                <w:szCs w:val="21"/>
                <w:lang w:eastAsia="zh-CN"/>
              </w:rPr>
              <w:t>日历</w:t>
            </w:r>
            <w:r>
              <w:rPr>
                <w:rFonts w:hint="eastAsia" w:ascii="宋体" w:hAnsi="宋体" w:eastAsia="宋体" w:cs="宋体"/>
                <w:color w:val="000000"/>
                <w:sz w:val="21"/>
                <w:szCs w:val="21"/>
              </w:rPr>
              <w:t>日内出具正式审计报告</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主管部门审核审计成果文件并提出相应修改意见的，成交供应商应在收到意见的3日历日内完成修改并重新提交审计成果文件。</w:t>
            </w:r>
          </w:p>
          <w:p w14:paraId="61B89D7E">
            <w:pPr>
              <w:autoSpaceDE w:val="0"/>
              <w:autoSpaceDN w:val="0"/>
              <w:adjustRightInd w:val="0"/>
              <w:spacing w:line="360" w:lineRule="auto"/>
              <w:ind w:firstLine="420" w:firstLineChars="200"/>
              <w:jc w:val="left"/>
              <w:rPr>
                <w:rFonts w:hint="eastAsia" w:ascii="宋体" w:hAnsi="宋体" w:cs="宋体"/>
                <w:kern w:val="0"/>
                <w:szCs w:val="21"/>
              </w:rPr>
            </w:pPr>
            <w:r>
              <w:rPr>
                <w:rFonts w:hint="eastAsia" w:ascii="宋体" w:hAnsi="宋体" w:cs="宋体"/>
                <w:kern w:val="0"/>
                <w:szCs w:val="21"/>
              </w:rPr>
              <w:t>2</w:t>
            </w:r>
            <w:r>
              <w:rPr>
                <w:rFonts w:hint="eastAsia" w:ascii="宋体" w:hAnsi="宋体" w:cs="宋体"/>
                <w:kern w:val="0"/>
                <w:szCs w:val="21"/>
                <w:lang w:val="en-US" w:eastAsia="zh-CN"/>
              </w:rPr>
              <w:t>.</w:t>
            </w:r>
            <w:r>
              <w:rPr>
                <w:rFonts w:hint="eastAsia" w:ascii="宋体" w:hAnsi="宋体" w:cs="宋体"/>
                <w:kern w:val="0"/>
                <w:szCs w:val="21"/>
                <w:lang w:eastAsia="zh-CN"/>
              </w:rPr>
              <w:t>服务</w:t>
            </w:r>
            <w:r>
              <w:rPr>
                <w:rFonts w:hint="eastAsia" w:ascii="宋体" w:hAnsi="宋体" w:cs="宋体"/>
                <w:kern w:val="0"/>
                <w:szCs w:val="21"/>
              </w:rPr>
              <w:t>地点：广西中医药大学仙葫校区。</w:t>
            </w:r>
          </w:p>
        </w:tc>
      </w:tr>
      <w:tr w14:paraId="6F87E09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1813" w:type="dxa"/>
            <w:gridSpan w:val="2"/>
            <w:tcBorders>
              <w:top w:val="single" w:color="auto" w:sz="4" w:space="0"/>
              <w:left w:val="single" w:color="auto" w:sz="4" w:space="0"/>
              <w:bottom w:val="single" w:color="auto" w:sz="4" w:space="0"/>
              <w:right w:val="single" w:color="auto" w:sz="4" w:space="0"/>
            </w:tcBorders>
            <w:vAlign w:val="center"/>
          </w:tcPr>
          <w:p w14:paraId="568592F8">
            <w:pPr>
              <w:autoSpaceDE w:val="0"/>
              <w:autoSpaceDN w:val="0"/>
              <w:adjustRightInd w:val="0"/>
              <w:spacing w:line="360" w:lineRule="auto"/>
              <w:jc w:val="left"/>
              <w:rPr>
                <w:rFonts w:hint="eastAsia" w:ascii="宋体" w:hAnsi="宋体" w:cs="宋体"/>
                <w:kern w:val="0"/>
                <w:szCs w:val="21"/>
              </w:rPr>
            </w:pPr>
            <w:r>
              <w:rPr>
                <w:rFonts w:hint="eastAsia" w:ascii="宋体" w:hAnsi="宋体" w:cs="宋体"/>
                <w:kern w:val="0"/>
                <w:szCs w:val="21"/>
              </w:rPr>
              <w:t>付款</w:t>
            </w:r>
            <w:r>
              <w:rPr>
                <w:rFonts w:hint="eastAsia" w:ascii="宋体" w:hAnsi="宋体"/>
                <w:szCs w:val="21"/>
              </w:rPr>
              <w:t>条件</w:t>
            </w:r>
          </w:p>
        </w:tc>
        <w:tc>
          <w:tcPr>
            <w:tcW w:w="7396" w:type="dxa"/>
            <w:gridSpan w:val="4"/>
            <w:tcBorders>
              <w:top w:val="single" w:color="auto" w:sz="4" w:space="0"/>
              <w:left w:val="single" w:color="auto" w:sz="4" w:space="0"/>
              <w:bottom w:val="single" w:color="auto" w:sz="4" w:space="0"/>
              <w:right w:val="single" w:color="auto" w:sz="4" w:space="0"/>
            </w:tcBorders>
            <w:vAlign w:val="center"/>
          </w:tcPr>
          <w:p w14:paraId="286DC828">
            <w:pPr>
              <w:keepNext w:val="0"/>
              <w:keepLines w:val="0"/>
              <w:pageBreakBefore w:val="0"/>
              <w:widowControl/>
              <w:numPr>
                <w:ilvl w:val="0"/>
                <w:numId w:val="0"/>
              </w:numPr>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成交供应商完成委托审计工作并出具正式决算审计报告后，成交供应商向采购人提交书面请款资料及增值税普通发票，采购人自收到齐全的材料之日起二十个工作日内通过银行转账方式向成交供应商支付服务费总额的50%。</w:t>
            </w:r>
          </w:p>
          <w:p w14:paraId="3F8B47D7">
            <w:pPr>
              <w:keepNext w:val="0"/>
              <w:keepLines w:val="0"/>
              <w:pageBreakBefore w:val="0"/>
              <w:kinsoku/>
              <w:wordWrap/>
              <w:overflowPunct/>
              <w:topLinePunct w:val="0"/>
              <w:autoSpaceDE/>
              <w:autoSpaceDN/>
              <w:bidi w:val="0"/>
              <w:spacing w:line="400" w:lineRule="exact"/>
              <w:ind w:firstLine="42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成交供应商完成决算审计报告报相应主管部门审核批复确认后，成交供应商向采购人提交书面请款资料及增值税普通发票，采购人自收到齐全的材料之日起二十个工作日内通过银行转账方式向成交供应商支付服务费剩余金额（服务费总额的50%）。</w:t>
            </w:r>
          </w:p>
          <w:p w14:paraId="7A7C31B4">
            <w:pPr>
              <w:spacing w:line="400" w:lineRule="exact"/>
              <w:rPr>
                <w:rFonts w:hint="eastAsia" w:ascii="宋体" w:hAnsi="宋体" w:eastAsia="宋体" w:cs="宋体"/>
                <w:kern w:val="1"/>
                <w:szCs w:val="21"/>
              </w:rPr>
            </w:pPr>
          </w:p>
        </w:tc>
      </w:tr>
      <w:tr w14:paraId="4D2A589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9209" w:type="dxa"/>
            <w:gridSpan w:val="6"/>
            <w:tcBorders>
              <w:top w:val="single" w:color="auto" w:sz="4" w:space="0"/>
              <w:left w:val="single" w:color="auto" w:sz="4" w:space="0"/>
              <w:bottom w:val="single" w:color="auto" w:sz="4" w:space="0"/>
              <w:right w:val="single" w:color="auto" w:sz="4" w:space="0"/>
            </w:tcBorders>
            <w:vAlign w:val="center"/>
          </w:tcPr>
          <w:p w14:paraId="4AC0452B">
            <w:pPr>
              <w:autoSpaceDE w:val="0"/>
              <w:autoSpaceDN w:val="0"/>
              <w:adjustRightInd w:val="0"/>
              <w:spacing w:line="360" w:lineRule="auto"/>
              <w:jc w:val="left"/>
              <w:rPr>
                <w:rFonts w:hint="eastAsia" w:ascii="宋体" w:hAnsi="宋体" w:cs="宋体"/>
                <w:b w:val="0"/>
                <w:bCs/>
                <w:kern w:val="0"/>
                <w:szCs w:val="21"/>
              </w:rPr>
            </w:pPr>
            <w:r>
              <w:rPr>
                <w:rFonts w:hint="eastAsia" w:ascii="宋体" w:hAnsi="宋体" w:cs="TimesNewRomanPSMT"/>
                <w:b w:val="0"/>
                <w:bCs/>
                <w:kern w:val="0"/>
                <w:szCs w:val="21"/>
              </w:rPr>
              <w:t>三、其他要求</w:t>
            </w:r>
          </w:p>
        </w:tc>
      </w:tr>
      <w:tr w14:paraId="34794E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66" w:hRule="atLeast"/>
          <w:jc w:val="center"/>
        </w:trPr>
        <w:tc>
          <w:tcPr>
            <w:tcW w:w="1813" w:type="dxa"/>
            <w:gridSpan w:val="2"/>
            <w:tcBorders>
              <w:top w:val="single" w:color="auto" w:sz="4" w:space="0"/>
              <w:left w:val="single" w:color="auto" w:sz="4" w:space="0"/>
              <w:bottom w:val="single" w:color="auto" w:sz="4" w:space="0"/>
              <w:right w:val="single" w:color="auto" w:sz="4" w:space="0"/>
            </w:tcBorders>
            <w:vAlign w:val="center"/>
          </w:tcPr>
          <w:p w14:paraId="6C947343">
            <w:pPr>
              <w:autoSpaceDE w:val="0"/>
              <w:autoSpaceDN w:val="0"/>
              <w:adjustRightInd w:val="0"/>
              <w:spacing w:line="360" w:lineRule="auto"/>
              <w:jc w:val="left"/>
              <w:rPr>
                <w:rFonts w:hint="eastAsia" w:ascii="宋体" w:hAnsi="宋体" w:cs="TimesNewRomanPSMT"/>
                <w:b w:val="0"/>
                <w:bCs/>
                <w:kern w:val="0"/>
                <w:szCs w:val="21"/>
              </w:rPr>
            </w:pPr>
          </w:p>
        </w:tc>
        <w:tc>
          <w:tcPr>
            <w:tcW w:w="7396" w:type="dxa"/>
            <w:gridSpan w:val="4"/>
            <w:tcBorders>
              <w:top w:val="single" w:color="auto" w:sz="4" w:space="0"/>
              <w:left w:val="single" w:color="auto" w:sz="4" w:space="0"/>
              <w:bottom w:val="single" w:color="auto" w:sz="4" w:space="0"/>
              <w:right w:val="single" w:color="auto" w:sz="4" w:space="0"/>
            </w:tcBorders>
            <w:vAlign w:val="center"/>
          </w:tcPr>
          <w:p w14:paraId="01FEEF71">
            <w:pPr>
              <w:autoSpaceDE w:val="0"/>
              <w:autoSpaceDN w:val="0"/>
              <w:adjustRightInd w:val="0"/>
              <w:spacing w:line="360" w:lineRule="auto"/>
              <w:jc w:val="left"/>
              <w:rPr>
                <w:rFonts w:hint="eastAsia" w:ascii="宋体" w:hAnsi="宋体"/>
                <w:b w:val="0"/>
                <w:bCs/>
              </w:rPr>
            </w:pPr>
            <w:r>
              <w:rPr>
                <w:rFonts w:hint="eastAsia" w:ascii="宋体" w:hAnsi="宋体"/>
                <w:b w:val="0"/>
                <w:bCs/>
              </w:rPr>
              <w:t>▲</w:t>
            </w:r>
            <w:r>
              <w:rPr>
                <w:rFonts w:hint="eastAsia" w:ascii="宋体" w:hAnsi="宋体"/>
                <w:b w:val="0"/>
                <w:bCs/>
                <w:lang w:val="en-US" w:eastAsia="zh-CN"/>
              </w:rPr>
              <w:t>1.</w:t>
            </w:r>
            <w:r>
              <w:rPr>
                <w:rFonts w:hint="eastAsia" w:ascii="宋体" w:hAnsi="宋体"/>
                <w:b w:val="0"/>
                <w:bCs/>
              </w:rPr>
              <w:t>本项目按服务费用内进行报价，报价必须含以下部分：①采用全包方式即合同金额，包括一切施工设备、人工费、各种保险费、税费等一切费用。</w:t>
            </w:r>
          </w:p>
          <w:p w14:paraId="712F0901">
            <w:pPr>
              <w:autoSpaceDE w:val="0"/>
              <w:autoSpaceDN w:val="0"/>
              <w:adjustRightInd w:val="0"/>
              <w:spacing w:line="360" w:lineRule="auto"/>
              <w:jc w:val="left"/>
              <w:rPr>
                <w:b w:val="0"/>
                <w:bCs/>
              </w:rPr>
            </w:pPr>
            <w:r>
              <w:rPr>
                <w:rFonts w:hint="eastAsia" w:ascii="宋体" w:hAnsi="宋体"/>
                <w:b w:val="0"/>
                <w:bCs/>
              </w:rPr>
              <w:t>▲</w:t>
            </w:r>
            <w:r>
              <w:rPr>
                <w:rFonts w:hint="eastAsia" w:ascii="宋体" w:hAnsi="宋体"/>
                <w:b w:val="0"/>
                <w:bCs/>
                <w:lang w:val="en-US" w:eastAsia="zh-CN"/>
              </w:rPr>
              <w:t>2</w:t>
            </w:r>
            <w:r>
              <w:rPr>
                <w:rFonts w:hint="eastAsia" w:ascii="宋体" w:hAnsi="宋体"/>
                <w:b w:val="0"/>
                <w:bCs/>
              </w:rPr>
              <w:t>、供应商应充分考虑</w:t>
            </w:r>
            <w:r>
              <w:rPr>
                <w:rFonts w:hint="eastAsia" w:ascii="宋体" w:hAnsi="宋体"/>
                <w:b w:val="0"/>
                <w:bCs/>
                <w:lang w:eastAsia="zh-CN"/>
              </w:rPr>
              <w:t>服务</w:t>
            </w:r>
            <w:r>
              <w:rPr>
                <w:rFonts w:hint="eastAsia" w:ascii="宋体" w:hAnsi="宋体"/>
                <w:b w:val="0"/>
                <w:bCs/>
              </w:rPr>
              <w:t>成本及参数要求再进行报价，如供应商低价恶意竞价、且成交后无法按要求提供</w:t>
            </w:r>
            <w:r>
              <w:rPr>
                <w:rFonts w:hint="eastAsia" w:ascii="宋体" w:hAnsi="宋体"/>
                <w:b w:val="0"/>
                <w:bCs/>
                <w:lang w:eastAsia="zh-CN"/>
              </w:rPr>
              <w:t>服务</w:t>
            </w:r>
            <w:r>
              <w:rPr>
                <w:rFonts w:hint="eastAsia" w:ascii="宋体" w:hAnsi="宋体"/>
                <w:b w:val="0"/>
                <w:bCs/>
              </w:rPr>
              <w:t>或者所供</w:t>
            </w:r>
            <w:r>
              <w:rPr>
                <w:rFonts w:hint="eastAsia" w:ascii="宋体" w:hAnsi="宋体"/>
                <w:b w:val="0"/>
                <w:bCs/>
                <w:lang w:eastAsia="zh-CN"/>
              </w:rPr>
              <w:t>服务</w:t>
            </w:r>
            <w:r>
              <w:rPr>
                <w:rFonts w:hint="eastAsia" w:ascii="宋体" w:hAnsi="宋体"/>
                <w:b w:val="0"/>
                <w:bCs/>
              </w:rPr>
              <w:t>无法满足参数要求的，采购人将按虚假竞标处理，并保留因耽误采购人使用时间造成的损失进行赔偿的权利，通过报备政采云平台及财政厅监管部门，并按规定对投</w:t>
            </w:r>
            <w:bookmarkStart w:id="0" w:name="_GoBack"/>
            <w:bookmarkEnd w:id="0"/>
            <w:r>
              <w:rPr>
                <w:rFonts w:hint="eastAsia" w:ascii="宋体" w:hAnsi="宋体"/>
                <w:b w:val="0"/>
                <w:bCs/>
              </w:rPr>
              <w:t>标人公司予以处罚和进行网上通报处理，追究投标人的法律责任，由此引发的一切后果由投标人承担。</w:t>
            </w:r>
          </w:p>
        </w:tc>
      </w:tr>
    </w:tbl>
    <w:p w14:paraId="2CD65CD4">
      <w:pPr>
        <w:pStyle w:val="9"/>
        <w:widowControl/>
        <w:spacing w:after="452" w:line="555" w:lineRule="atLeast"/>
        <w:rPr>
          <w:rStyle w:val="14"/>
          <w:rFonts w:hint="eastAsia" w:ascii="黑体" w:hAnsi="宋体" w:eastAsia="黑体" w:cs="黑体"/>
          <w:color w:val="333333"/>
          <w:sz w:val="28"/>
          <w:szCs w:val="28"/>
          <w:shd w:val="clear" w:color="auto" w:fill="FFFFFF"/>
        </w:rPr>
      </w:pPr>
    </w:p>
    <w:sectPr>
      <w:footerReference r:id="rId5"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imesNewRomanPSMT">
    <w:altName w:val="Times New Roman"/>
    <w:panose1 w:val="00000000000000000000"/>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84099594"/>
    </w:sdtPr>
    <w:sdtContent>
      <w:sdt>
        <w:sdtPr>
          <w:id w:val="171357217"/>
        </w:sdtPr>
        <w:sdtContent>
          <w:p w14:paraId="45EA8245">
            <w:pPr>
              <w:pStyle w:val="7"/>
              <w:jc w:val="center"/>
            </w:pPr>
            <w:r>
              <w:rPr>
                <w:b/>
                <w:sz w:val="24"/>
                <w:szCs w:val="24"/>
              </w:rPr>
              <w:fldChar w:fldCharType="begin"/>
            </w:r>
            <w:r>
              <w:rPr>
                <w:b/>
              </w:rPr>
              <w:instrText xml:space="preserve">PAGE</w:instrText>
            </w:r>
            <w:r>
              <w:rPr>
                <w:b/>
                <w:sz w:val="24"/>
                <w:szCs w:val="24"/>
              </w:rPr>
              <w:fldChar w:fldCharType="separate"/>
            </w:r>
            <w:r>
              <w:rPr>
                <w:b/>
              </w:rPr>
              <w:t>2</w:t>
            </w:r>
            <w:r>
              <w:rPr>
                <w:b/>
                <w:sz w:val="24"/>
                <w:szCs w:val="2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U2ZGYxMjc3NjhjNjUwMGQxMTMxNWFkNzQ2NDg1YTgifQ=="/>
  </w:docVars>
  <w:rsids>
    <w:rsidRoot w:val="52D653D6"/>
    <w:rsid w:val="00002994"/>
    <w:rsid w:val="000102D3"/>
    <w:rsid w:val="0001736C"/>
    <w:rsid w:val="00021BD6"/>
    <w:rsid w:val="000408C1"/>
    <w:rsid w:val="00047C0E"/>
    <w:rsid w:val="00056B5E"/>
    <w:rsid w:val="000808B9"/>
    <w:rsid w:val="00082409"/>
    <w:rsid w:val="00082EF6"/>
    <w:rsid w:val="0008314C"/>
    <w:rsid w:val="00087E6F"/>
    <w:rsid w:val="00092BBF"/>
    <w:rsid w:val="000953D5"/>
    <w:rsid w:val="000A3D19"/>
    <w:rsid w:val="000A5D39"/>
    <w:rsid w:val="000C4E31"/>
    <w:rsid w:val="000E64E3"/>
    <w:rsid w:val="0010348A"/>
    <w:rsid w:val="00110A81"/>
    <w:rsid w:val="00127AFC"/>
    <w:rsid w:val="00133620"/>
    <w:rsid w:val="00150216"/>
    <w:rsid w:val="00156346"/>
    <w:rsid w:val="0017414C"/>
    <w:rsid w:val="001B37D8"/>
    <w:rsid w:val="001C0A0B"/>
    <w:rsid w:val="001C5E3E"/>
    <w:rsid w:val="001D0CC4"/>
    <w:rsid w:val="001D3CF7"/>
    <w:rsid w:val="001D40D9"/>
    <w:rsid w:val="001F1305"/>
    <w:rsid w:val="00204020"/>
    <w:rsid w:val="002310AC"/>
    <w:rsid w:val="00232C58"/>
    <w:rsid w:val="00253977"/>
    <w:rsid w:val="002562E1"/>
    <w:rsid w:val="00266758"/>
    <w:rsid w:val="0027639E"/>
    <w:rsid w:val="002A648D"/>
    <w:rsid w:val="002C48D1"/>
    <w:rsid w:val="00312577"/>
    <w:rsid w:val="00351A5E"/>
    <w:rsid w:val="003753CB"/>
    <w:rsid w:val="003D1DCB"/>
    <w:rsid w:val="003D7CA4"/>
    <w:rsid w:val="00401437"/>
    <w:rsid w:val="004071AF"/>
    <w:rsid w:val="0040787D"/>
    <w:rsid w:val="004167FA"/>
    <w:rsid w:val="00431E0E"/>
    <w:rsid w:val="00435453"/>
    <w:rsid w:val="00474A3B"/>
    <w:rsid w:val="0048288D"/>
    <w:rsid w:val="0048565F"/>
    <w:rsid w:val="004D446A"/>
    <w:rsid w:val="004D6593"/>
    <w:rsid w:val="004E3B7E"/>
    <w:rsid w:val="004E5F3B"/>
    <w:rsid w:val="005166BE"/>
    <w:rsid w:val="0052249A"/>
    <w:rsid w:val="00547DDF"/>
    <w:rsid w:val="0055287B"/>
    <w:rsid w:val="005650B2"/>
    <w:rsid w:val="005B2178"/>
    <w:rsid w:val="005C6D2A"/>
    <w:rsid w:val="005E1921"/>
    <w:rsid w:val="005E4818"/>
    <w:rsid w:val="005E4C14"/>
    <w:rsid w:val="005E4ECB"/>
    <w:rsid w:val="00603052"/>
    <w:rsid w:val="006128DF"/>
    <w:rsid w:val="00624C0D"/>
    <w:rsid w:val="00625B6B"/>
    <w:rsid w:val="00651D11"/>
    <w:rsid w:val="00660F53"/>
    <w:rsid w:val="006660B4"/>
    <w:rsid w:val="00681F69"/>
    <w:rsid w:val="006A4493"/>
    <w:rsid w:val="006C62A8"/>
    <w:rsid w:val="006D028E"/>
    <w:rsid w:val="006D06C6"/>
    <w:rsid w:val="006D1F21"/>
    <w:rsid w:val="006D3EE4"/>
    <w:rsid w:val="006E0179"/>
    <w:rsid w:val="006E297E"/>
    <w:rsid w:val="006E3CF1"/>
    <w:rsid w:val="006E6C19"/>
    <w:rsid w:val="00710C8F"/>
    <w:rsid w:val="00713573"/>
    <w:rsid w:val="007270EA"/>
    <w:rsid w:val="00733E15"/>
    <w:rsid w:val="0075181E"/>
    <w:rsid w:val="007828C7"/>
    <w:rsid w:val="007942C7"/>
    <w:rsid w:val="007A4C72"/>
    <w:rsid w:val="007B21E3"/>
    <w:rsid w:val="007B4626"/>
    <w:rsid w:val="007C5205"/>
    <w:rsid w:val="00801CC6"/>
    <w:rsid w:val="0080519D"/>
    <w:rsid w:val="00830BFD"/>
    <w:rsid w:val="00835CD1"/>
    <w:rsid w:val="00853064"/>
    <w:rsid w:val="00857045"/>
    <w:rsid w:val="00871030"/>
    <w:rsid w:val="008B090F"/>
    <w:rsid w:val="008D14DD"/>
    <w:rsid w:val="008D28D6"/>
    <w:rsid w:val="008E356A"/>
    <w:rsid w:val="008E6872"/>
    <w:rsid w:val="008F2BB9"/>
    <w:rsid w:val="00921188"/>
    <w:rsid w:val="009254E6"/>
    <w:rsid w:val="00933947"/>
    <w:rsid w:val="00954DF6"/>
    <w:rsid w:val="00960CC4"/>
    <w:rsid w:val="00973544"/>
    <w:rsid w:val="00976B0B"/>
    <w:rsid w:val="00980C1A"/>
    <w:rsid w:val="00991123"/>
    <w:rsid w:val="009A0E5A"/>
    <w:rsid w:val="009A4990"/>
    <w:rsid w:val="009E24CA"/>
    <w:rsid w:val="009E40CD"/>
    <w:rsid w:val="009E469C"/>
    <w:rsid w:val="009F3F9A"/>
    <w:rsid w:val="00A173CF"/>
    <w:rsid w:val="00A25973"/>
    <w:rsid w:val="00A46721"/>
    <w:rsid w:val="00A82D07"/>
    <w:rsid w:val="00A86CD0"/>
    <w:rsid w:val="00A91344"/>
    <w:rsid w:val="00AC4CAC"/>
    <w:rsid w:val="00AC6052"/>
    <w:rsid w:val="00AC7DAE"/>
    <w:rsid w:val="00AE5F79"/>
    <w:rsid w:val="00B07709"/>
    <w:rsid w:val="00B11EDA"/>
    <w:rsid w:val="00B12D00"/>
    <w:rsid w:val="00B17646"/>
    <w:rsid w:val="00B25E09"/>
    <w:rsid w:val="00B55956"/>
    <w:rsid w:val="00B81F9C"/>
    <w:rsid w:val="00B86469"/>
    <w:rsid w:val="00B95E1D"/>
    <w:rsid w:val="00B96A3E"/>
    <w:rsid w:val="00BB058F"/>
    <w:rsid w:val="00BB208F"/>
    <w:rsid w:val="00BD4895"/>
    <w:rsid w:val="00BD6001"/>
    <w:rsid w:val="00BE601F"/>
    <w:rsid w:val="00BF406C"/>
    <w:rsid w:val="00BF531C"/>
    <w:rsid w:val="00C14009"/>
    <w:rsid w:val="00C30E63"/>
    <w:rsid w:val="00C54DB5"/>
    <w:rsid w:val="00C671A9"/>
    <w:rsid w:val="00C75936"/>
    <w:rsid w:val="00C81107"/>
    <w:rsid w:val="00C92655"/>
    <w:rsid w:val="00C961C2"/>
    <w:rsid w:val="00CB26C2"/>
    <w:rsid w:val="00CE11B5"/>
    <w:rsid w:val="00CF4136"/>
    <w:rsid w:val="00CF77EF"/>
    <w:rsid w:val="00D13312"/>
    <w:rsid w:val="00D13A3C"/>
    <w:rsid w:val="00D20611"/>
    <w:rsid w:val="00D24B5D"/>
    <w:rsid w:val="00D36B28"/>
    <w:rsid w:val="00D44D05"/>
    <w:rsid w:val="00D457A7"/>
    <w:rsid w:val="00D71E77"/>
    <w:rsid w:val="00D84986"/>
    <w:rsid w:val="00D9050C"/>
    <w:rsid w:val="00DC72FA"/>
    <w:rsid w:val="00DE3942"/>
    <w:rsid w:val="00DE62C0"/>
    <w:rsid w:val="00DF3090"/>
    <w:rsid w:val="00DF3C24"/>
    <w:rsid w:val="00E0409A"/>
    <w:rsid w:val="00E05C4D"/>
    <w:rsid w:val="00E11FB9"/>
    <w:rsid w:val="00E12ED2"/>
    <w:rsid w:val="00E25AAB"/>
    <w:rsid w:val="00E44071"/>
    <w:rsid w:val="00E4439D"/>
    <w:rsid w:val="00E72E28"/>
    <w:rsid w:val="00E86588"/>
    <w:rsid w:val="00EB7ADE"/>
    <w:rsid w:val="00EC277A"/>
    <w:rsid w:val="00EE293F"/>
    <w:rsid w:val="00EE355B"/>
    <w:rsid w:val="00EE6160"/>
    <w:rsid w:val="00EF299F"/>
    <w:rsid w:val="00EF6487"/>
    <w:rsid w:val="00F04327"/>
    <w:rsid w:val="00F20CDC"/>
    <w:rsid w:val="00F25E3C"/>
    <w:rsid w:val="00F26972"/>
    <w:rsid w:val="00F330CB"/>
    <w:rsid w:val="00F348C2"/>
    <w:rsid w:val="00F5062C"/>
    <w:rsid w:val="00F56375"/>
    <w:rsid w:val="00F73016"/>
    <w:rsid w:val="00F92D4B"/>
    <w:rsid w:val="00F94F4A"/>
    <w:rsid w:val="00FB02B1"/>
    <w:rsid w:val="00FB3DFA"/>
    <w:rsid w:val="00FD620A"/>
    <w:rsid w:val="0163247B"/>
    <w:rsid w:val="09287D76"/>
    <w:rsid w:val="09E37FB3"/>
    <w:rsid w:val="0A0F5BB5"/>
    <w:rsid w:val="0C93343B"/>
    <w:rsid w:val="0E6F05D1"/>
    <w:rsid w:val="0F074FAA"/>
    <w:rsid w:val="15333719"/>
    <w:rsid w:val="157A4E35"/>
    <w:rsid w:val="15A6480D"/>
    <w:rsid w:val="1608351E"/>
    <w:rsid w:val="1C071B9A"/>
    <w:rsid w:val="1DF613D3"/>
    <w:rsid w:val="20A0716E"/>
    <w:rsid w:val="20CE0ED9"/>
    <w:rsid w:val="21E9568B"/>
    <w:rsid w:val="26A022EB"/>
    <w:rsid w:val="278E005D"/>
    <w:rsid w:val="288B42E2"/>
    <w:rsid w:val="2FEC2936"/>
    <w:rsid w:val="30175C86"/>
    <w:rsid w:val="3038292B"/>
    <w:rsid w:val="306D7DC2"/>
    <w:rsid w:val="32F81A84"/>
    <w:rsid w:val="33F53549"/>
    <w:rsid w:val="38290730"/>
    <w:rsid w:val="3BDC4EF4"/>
    <w:rsid w:val="41842ED7"/>
    <w:rsid w:val="41E80EEB"/>
    <w:rsid w:val="44E060C2"/>
    <w:rsid w:val="4708796F"/>
    <w:rsid w:val="47283916"/>
    <w:rsid w:val="4A8C26DF"/>
    <w:rsid w:val="4C6F2CC0"/>
    <w:rsid w:val="4D601418"/>
    <w:rsid w:val="508F329F"/>
    <w:rsid w:val="52264F17"/>
    <w:rsid w:val="527B4618"/>
    <w:rsid w:val="52B813CD"/>
    <w:rsid w:val="52D653D6"/>
    <w:rsid w:val="58E50BA2"/>
    <w:rsid w:val="598B674F"/>
    <w:rsid w:val="5B8E2CD1"/>
    <w:rsid w:val="5D5E44AA"/>
    <w:rsid w:val="628F7431"/>
    <w:rsid w:val="67D866A0"/>
    <w:rsid w:val="6B9E0A74"/>
    <w:rsid w:val="6C28527F"/>
    <w:rsid w:val="6D6123F1"/>
    <w:rsid w:val="7357203A"/>
    <w:rsid w:val="75352A78"/>
    <w:rsid w:val="7835786E"/>
    <w:rsid w:val="7C2B051C"/>
    <w:rsid w:val="7CDA58DC"/>
    <w:rsid w:val="7E0E6E1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iPriority="0" w:semiHidden="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99" w:semiHidden="0" w:name="Normal (Web)"/>
    <w:lsdException w:qFormat="1" w:unhideWhenUsed="0" w:uiPriority="0" w:semiHidden="0" w:name="HTML Acronym"/>
    <w:lsdException w:uiPriority="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iPriority="0" w:name="HTML Keyboard"/>
    <w:lsdException w:uiPriority="0" w:name="HTML Preformatted"/>
    <w:lsdException w:uiPriority="0" w:name="HTML Sample"/>
    <w:lsdException w:uiPriority="0" w:name="HTML Typewriter"/>
    <w:lsdException w:qFormat="1" w:unhideWhenUsed="0" w:uiPriority="0" w:semiHidden="0" w:name="HTML Variable"/>
    <w:lsdException w:qFormat="1" w:uiPriority="99" w:name="Normal Table"/>
    <w:lsdException w:qFormat="1"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78" w:lineRule="auto"/>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jc w:val="left"/>
      <w:outlineLvl w:val="1"/>
    </w:pPr>
    <w:rPr>
      <w:rFonts w:hint="eastAsia" w:ascii="宋体" w:hAnsi="宋体" w:eastAsia="宋体" w:cs="Times New Roman"/>
      <w:kern w:val="0"/>
      <w:sz w:val="24"/>
    </w:rPr>
  </w:style>
  <w:style w:type="paragraph" w:styleId="3">
    <w:name w:val="heading 4"/>
    <w:basedOn w:val="1"/>
    <w:next w:val="1"/>
    <w:unhideWhenUsed/>
    <w:qFormat/>
    <w:uiPriority w:val="0"/>
    <w:pPr>
      <w:jc w:val="left"/>
      <w:outlineLvl w:val="3"/>
    </w:pPr>
    <w:rPr>
      <w:rFonts w:hint="eastAsia" w:ascii="宋体" w:hAnsi="宋体" w:eastAsia="宋体" w:cs="Times New Roman"/>
      <w:kern w:val="0"/>
      <w:sz w:val="24"/>
    </w:rPr>
  </w:style>
  <w:style w:type="character" w:default="1" w:styleId="13">
    <w:name w:val="Default Paragraph Font"/>
    <w:semiHidden/>
    <w:unhideWhenUsed/>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34"/>
    <w:unhideWhenUsed/>
    <w:qFormat/>
    <w:uiPriority w:val="0"/>
    <w:pPr>
      <w:jc w:val="left"/>
    </w:pPr>
  </w:style>
  <w:style w:type="paragraph" w:styleId="5">
    <w:name w:val="Plain Text"/>
    <w:basedOn w:val="1"/>
    <w:link w:val="31"/>
    <w:qFormat/>
    <w:uiPriority w:val="0"/>
    <w:rPr>
      <w:rFonts w:ascii="宋体" w:hAnsi="Courier New" w:eastAsia="宋体" w:cs="Courier New"/>
      <w:kern w:val="0"/>
      <w:sz w:val="20"/>
      <w:szCs w:val="21"/>
    </w:rPr>
  </w:style>
  <w:style w:type="paragraph" w:styleId="6">
    <w:name w:val="Balloon Text"/>
    <w:basedOn w:val="1"/>
    <w:link w:val="36"/>
    <w:unhideWhenUsed/>
    <w:qFormat/>
    <w:uiPriority w:val="0"/>
    <w:rPr>
      <w:sz w:val="18"/>
      <w:szCs w:val="18"/>
    </w:rPr>
  </w:style>
  <w:style w:type="paragraph" w:styleId="7">
    <w:name w:val="footer"/>
    <w:basedOn w:val="1"/>
    <w:link w:val="29"/>
    <w:qFormat/>
    <w:uiPriority w:val="99"/>
    <w:pPr>
      <w:tabs>
        <w:tab w:val="center" w:pos="4153"/>
        <w:tab w:val="right" w:pos="8306"/>
      </w:tabs>
      <w:snapToGrid w:val="0"/>
      <w:jc w:val="left"/>
    </w:pPr>
    <w:rPr>
      <w:sz w:val="18"/>
      <w:szCs w:val="18"/>
    </w:rPr>
  </w:style>
  <w:style w:type="paragraph" w:styleId="8">
    <w:name w:val="header"/>
    <w:basedOn w:val="1"/>
    <w:link w:val="28"/>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99"/>
    <w:pPr>
      <w:jc w:val="left"/>
    </w:pPr>
    <w:rPr>
      <w:rFonts w:cs="Times New Roman"/>
      <w:kern w:val="0"/>
      <w:sz w:val="24"/>
    </w:rPr>
  </w:style>
  <w:style w:type="paragraph" w:styleId="10">
    <w:name w:val="annotation subject"/>
    <w:basedOn w:val="4"/>
    <w:next w:val="4"/>
    <w:link w:val="35"/>
    <w:unhideWhenUsed/>
    <w:qFormat/>
    <w:uiPriority w:val="0"/>
    <w:rPr>
      <w:b/>
      <w:bCs/>
    </w:rPr>
  </w:style>
  <w:style w:type="table" w:styleId="12">
    <w:name w:val="Table Grid"/>
    <w:basedOn w:val="11"/>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Strong"/>
    <w:basedOn w:val="13"/>
    <w:qFormat/>
    <w:uiPriority w:val="0"/>
    <w:rPr>
      <w:b/>
    </w:rPr>
  </w:style>
  <w:style w:type="character" w:styleId="15">
    <w:name w:val="FollowedHyperlink"/>
    <w:basedOn w:val="13"/>
    <w:qFormat/>
    <w:uiPriority w:val="0"/>
    <w:rPr>
      <w:color w:val="333333"/>
      <w:u w:val="none"/>
    </w:rPr>
  </w:style>
  <w:style w:type="character" w:styleId="16">
    <w:name w:val="Emphasis"/>
    <w:basedOn w:val="13"/>
    <w:qFormat/>
    <w:uiPriority w:val="0"/>
  </w:style>
  <w:style w:type="character" w:styleId="17">
    <w:name w:val="HTML Definition"/>
    <w:basedOn w:val="13"/>
    <w:qFormat/>
    <w:uiPriority w:val="0"/>
  </w:style>
  <w:style w:type="character" w:styleId="18">
    <w:name w:val="HTML Acronym"/>
    <w:basedOn w:val="13"/>
    <w:qFormat/>
    <w:uiPriority w:val="0"/>
  </w:style>
  <w:style w:type="character" w:styleId="19">
    <w:name w:val="HTML Variable"/>
    <w:basedOn w:val="13"/>
    <w:qFormat/>
    <w:uiPriority w:val="0"/>
  </w:style>
  <w:style w:type="character" w:styleId="20">
    <w:name w:val="Hyperlink"/>
    <w:basedOn w:val="13"/>
    <w:qFormat/>
    <w:uiPriority w:val="0"/>
    <w:rPr>
      <w:color w:val="333333"/>
      <w:u w:val="none"/>
    </w:rPr>
  </w:style>
  <w:style w:type="character" w:styleId="21">
    <w:name w:val="HTML Code"/>
    <w:basedOn w:val="13"/>
    <w:qFormat/>
    <w:uiPriority w:val="0"/>
    <w:rPr>
      <w:rFonts w:ascii="Courier New" w:hAnsi="Courier New"/>
      <w:sz w:val="20"/>
    </w:rPr>
  </w:style>
  <w:style w:type="character" w:styleId="22">
    <w:name w:val="annotation reference"/>
    <w:basedOn w:val="13"/>
    <w:unhideWhenUsed/>
    <w:qFormat/>
    <w:uiPriority w:val="0"/>
    <w:rPr>
      <w:sz w:val="21"/>
      <w:szCs w:val="21"/>
    </w:rPr>
  </w:style>
  <w:style w:type="character" w:styleId="23">
    <w:name w:val="HTML Cite"/>
    <w:basedOn w:val="13"/>
    <w:qFormat/>
    <w:uiPriority w:val="0"/>
  </w:style>
  <w:style w:type="character" w:customStyle="1" w:styleId="24">
    <w:name w:val="current"/>
    <w:basedOn w:val="13"/>
    <w:qFormat/>
    <w:uiPriority w:val="0"/>
    <w:rPr>
      <w:b/>
      <w:bCs/>
      <w:color w:val="FFFFFF"/>
      <w:bdr w:val="single" w:color="7D6543" w:sz="6" w:space="0"/>
      <w:shd w:val="clear" w:color="auto" w:fill="7D6543"/>
    </w:rPr>
  </w:style>
  <w:style w:type="character" w:customStyle="1" w:styleId="25">
    <w:name w:val="disabled"/>
    <w:basedOn w:val="13"/>
    <w:qFormat/>
    <w:uiPriority w:val="0"/>
    <w:rPr>
      <w:color w:val="999999"/>
      <w:bdr w:val="single" w:color="C5C5C5" w:sz="6" w:space="0"/>
    </w:rPr>
  </w:style>
  <w:style w:type="character" w:customStyle="1" w:styleId="26">
    <w:name w:val="font11"/>
    <w:basedOn w:val="13"/>
    <w:qFormat/>
    <w:uiPriority w:val="0"/>
    <w:rPr>
      <w:rFonts w:hint="eastAsia" w:ascii="宋体" w:hAnsi="宋体" w:eastAsia="宋体" w:cs="宋体"/>
      <w:color w:val="000000"/>
      <w:sz w:val="24"/>
      <w:szCs w:val="24"/>
      <w:u w:val="none"/>
    </w:rPr>
  </w:style>
  <w:style w:type="character" w:customStyle="1" w:styleId="27">
    <w:name w:val="font31"/>
    <w:basedOn w:val="13"/>
    <w:qFormat/>
    <w:uiPriority w:val="0"/>
    <w:rPr>
      <w:rFonts w:hint="eastAsia" w:ascii="宋体" w:hAnsi="宋体" w:eastAsia="宋体" w:cs="宋体"/>
      <w:color w:val="000000"/>
      <w:sz w:val="24"/>
      <w:szCs w:val="24"/>
      <w:u w:val="none"/>
    </w:rPr>
  </w:style>
  <w:style w:type="character" w:customStyle="1" w:styleId="28">
    <w:name w:val="页眉 字符"/>
    <w:basedOn w:val="13"/>
    <w:link w:val="8"/>
    <w:qFormat/>
    <w:uiPriority w:val="99"/>
    <w:rPr>
      <w:rFonts w:asciiTheme="minorHAnsi" w:hAnsiTheme="minorHAnsi" w:eastAsiaTheme="minorEastAsia" w:cstheme="minorBidi"/>
      <w:kern w:val="2"/>
      <w:sz w:val="18"/>
      <w:szCs w:val="18"/>
    </w:rPr>
  </w:style>
  <w:style w:type="character" w:customStyle="1" w:styleId="29">
    <w:name w:val="页脚 字符"/>
    <w:basedOn w:val="13"/>
    <w:link w:val="7"/>
    <w:qFormat/>
    <w:uiPriority w:val="99"/>
    <w:rPr>
      <w:rFonts w:asciiTheme="minorHAnsi" w:hAnsiTheme="minorHAnsi" w:eastAsiaTheme="minorEastAsia" w:cstheme="minorBidi"/>
      <w:kern w:val="2"/>
      <w:sz w:val="18"/>
      <w:szCs w:val="18"/>
    </w:rPr>
  </w:style>
  <w:style w:type="paragraph" w:customStyle="1" w:styleId="30">
    <w:name w:val="列表段落1"/>
    <w:basedOn w:val="1"/>
    <w:unhideWhenUsed/>
    <w:qFormat/>
    <w:uiPriority w:val="99"/>
    <w:pPr>
      <w:ind w:firstLine="420" w:firstLineChars="200"/>
    </w:pPr>
  </w:style>
  <w:style w:type="character" w:customStyle="1" w:styleId="31">
    <w:name w:val="纯文本 字符"/>
    <w:basedOn w:val="13"/>
    <w:link w:val="5"/>
    <w:qFormat/>
    <w:uiPriority w:val="0"/>
    <w:rPr>
      <w:rFonts w:ascii="宋体" w:hAnsi="Courier New" w:cs="Courier New"/>
      <w:szCs w:val="21"/>
    </w:rPr>
  </w:style>
  <w:style w:type="paragraph" w:customStyle="1" w:styleId="32">
    <w:name w:val="无间隔1"/>
    <w:link w:val="33"/>
    <w:qFormat/>
    <w:uiPriority w:val="1"/>
    <w:pPr>
      <w:spacing w:after="160" w:line="278" w:lineRule="auto"/>
    </w:pPr>
    <w:rPr>
      <w:rFonts w:asciiTheme="minorHAnsi" w:hAnsiTheme="minorHAnsi" w:eastAsiaTheme="minorEastAsia" w:cstheme="minorBidi"/>
      <w:sz w:val="22"/>
      <w:szCs w:val="22"/>
      <w:lang w:val="en-US" w:eastAsia="zh-CN" w:bidi="ar-SA"/>
    </w:rPr>
  </w:style>
  <w:style w:type="character" w:customStyle="1" w:styleId="33">
    <w:name w:val="无间隔 Char"/>
    <w:basedOn w:val="13"/>
    <w:link w:val="32"/>
    <w:qFormat/>
    <w:uiPriority w:val="1"/>
    <w:rPr>
      <w:rFonts w:asciiTheme="minorHAnsi" w:hAnsiTheme="minorHAnsi" w:eastAsiaTheme="minorEastAsia" w:cstheme="minorBidi"/>
      <w:sz w:val="22"/>
      <w:szCs w:val="22"/>
    </w:rPr>
  </w:style>
  <w:style w:type="character" w:customStyle="1" w:styleId="34">
    <w:name w:val="批注文字 字符"/>
    <w:basedOn w:val="13"/>
    <w:link w:val="4"/>
    <w:semiHidden/>
    <w:qFormat/>
    <w:uiPriority w:val="0"/>
    <w:rPr>
      <w:rFonts w:asciiTheme="minorHAnsi" w:hAnsiTheme="minorHAnsi" w:eastAsiaTheme="minorEastAsia" w:cstheme="minorBidi"/>
      <w:kern w:val="2"/>
      <w:sz w:val="21"/>
      <w:szCs w:val="24"/>
    </w:rPr>
  </w:style>
  <w:style w:type="character" w:customStyle="1" w:styleId="35">
    <w:name w:val="批注主题 字符"/>
    <w:basedOn w:val="34"/>
    <w:link w:val="10"/>
    <w:semiHidden/>
    <w:qFormat/>
    <w:uiPriority w:val="0"/>
    <w:rPr>
      <w:rFonts w:asciiTheme="minorHAnsi" w:hAnsiTheme="minorHAnsi" w:eastAsiaTheme="minorEastAsia" w:cstheme="minorBidi"/>
      <w:b/>
      <w:bCs/>
      <w:kern w:val="2"/>
      <w:sz w:val="21"/>
      <w:szCs w:val="24"/>
    </w:rPr>
  </w:style>
  <w:style w:type="character" w:customStyle="1" w:styleId="36">
    <w:name w:val="批注框文本 字符"/>
    <w:basedOn w:val="13"/>
    <w:link w:val="6"/>
    <w:semiHidden/>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E51C58-2E0D-40A0-A8ED-C01B338F4D4F}">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4</Pages>
  <Words>1233</Words>
  <Characters>1440</Characters>
  <Lines>10</Lines>
  <Paragraphs>3</Paragraphs>
  <TotalTime>11</TotalTime>
  <ScaleCrop>false</ScaleCrop>
  <LinksUpToDate>false</LinksUpToDate>
  <CharactersWithSpaces>1468</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2022-01-12T07:29:00Z</dcterms:created>
  <dc:creator>Administrator</dc:creator>
  <cp:lastModifiedBy>Administrator</cp:lastModifiedBy>
  <cp:lastPrinted>2021-12-09T07:52:00Z</cp:lastPrinted>
  <dcterms:modified xsi:type="dcterms:W3CDTF">2024-11-11T07:44:11Z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19CE6C4B7F8A43C7981FA066754F118C</vt:lpwstr>
  </property>
</Properties>
</file>